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64E" w:rsidRDefault="006B4C16" w:rsidP="00452558">
      <w:pPr>
        <w:pStyle w:val="Heading1"/>
        <w:pBdr>
          <w:bottom w:val="single" w:sz="4" w:space="1" w:color="auto"/>
        </w:pBdr>
        <w:spacing w:before="71" w:line="278" w:lineRule="auto"/>
        <w:ind w:left="3897" w:hanging="3447"/>
      </w:pPr>
      <w:r>
        <w:t>Kidney</w:t>
      </w:r>
      <w:r w:rsidR="00452558">
        <w:t xml:space="preserve"> </w:t>
      </w:r>
      <w:r>
        <w:t>Dysfunction</w:t>
      </w:r>
      <w:r w:rsidR="00452558">
        <w:t xml:space="preserve"> </w:t>
      </w:r>
      <w:r>
        <w:t>and</w:t>
      </w:r>
      <w:r w:rsidR="00452558">
        <w:t xml:space="preserve"> </w:t>
      </w:r>
      <w:r>
        <w:t>the</w:t>
      </w:r>
      <w:r w:rsidR="00452558">
        <w:t xml:space="preserve"> </w:t>
      </w:r>
      <w:r>
        <w:t>Risk</w:t>
      </w:r>
      <w:r w:rsidR="00452558">
        <w:t xml:space="preserve"> </w:t>
      </w:r>
      <w:r>
        <w:t>of</w:t>
      </w:r>
      <w:r w:rsidR="00452558">
        <w:t xml:space="preserve"> </w:t>
      </w:r>
      <w:r>
        <w:t>Slow-Flow</w:t>
      </w:r>
      <w:r w:rsidR="00452558">
        <w:t xml:space="preserve"> </w:t>
      </w:r>
      <w:r>
        <w:t>/</w:t>
      </w:r>
      <w:r w:rsidR="00452558">
        <w:t xml:space="preserve"> </w:t>
      </w:r>
      <w:r>
        <w:t>No-Reflow</w:t>
      </w:r>
      <w:r w:rsidR="00452558">
        <w:t xml:space="preserve"> </w:t>
      </w:r>
      <w:r>
        <w:t>During</w:t>
      </w:r>
      <w:r w:rsidR="00452558">
        <w:t xml:space="preserve"> </w:t>
      </w:r>
      <w:r>
        <w:t>Primary</w:t>
      </w:r>
      <w:r w:rsidR="00452558">
        <w:t xml:space="preserve"> </w:t>
      </w:r>
      <w:r>
        <w:t>PCI</w:t>
      </w:r>
      <w:r w:rsidR="00452558">
        <w:t xml:space="preserve"> </w:t>
      </w:r>
      <w:r>
        <w:t>for</w:t>
      </w:r>
      <w:r w:rsidR="00452558">
        <w:t xml:space="preserve"> </w:t>
      </w:r>
      <w:r>
        <w:t>Acute Myocardial Infarction</w:t>
      </w:r>
      <w:bookmarkStart w:id="0" w:name="_GoBack"/>
      <w:bookmarkEnd w:id="0"/>
    </w:p>
    <w:p w:rsidR="007C464E" w:rsidRDefault="007C464E">
      <w:pPr>
        <w:pStyle w:val="BodyText"/>
        <w:ind w:left="0"/>
        <w:rPr>
          <w:b/>
        </w:rPr>
      </w:pPr>
    </w:p>
    <w:p w:rsidR="007C464E" w:rsidRDefault="007C464E">
      <w:pPr>
        <w:pStyle w:val="BodyText"/>
        <w:spacing w:before="163"/>
        <w:ind w:left="0"/>
        <w:rPr>
          <w:b/>
        </w:rPr>
      </w:pPr>
    </w:p>
    <w:p w:rsidR="007C464E" w:rsidRDefault="006B4C16">
      <w:pPr>
        <w:spacing w:line="275" w:lineRule="exact"/>
        <w:ind w:left="360"/>
        <w:rPr>
          <w:b/>
          <w:sz w:val="24"/>
        </w:rPr>
      </w:pPr>
      <w:r>
        <w:rPr>
          <w:b/>
          <w:spacing w:val="-2"/>
          <w:sz w:val="24"/>
          <w:u w:val="single"/>
        </w:rPr>
        <w:t>ABSTRACT</w:t>
      </w:r>
    </w:p>
    <w:p w:rsidR="007C464E" w:rsidRDefault="006B4C16">
      <w:pPr>
        <w:pStyle w:val="Heading1"/>
        <w:spacing w:line="275" w:lineRule="exact"/>
      </w:pPr>
      <w:r>
        <w:rPr>
          <w:spacing w:val="-2"/>
        </w:rPr>
        <w:t>Background:</w:t>
      </w:r>
    </w:p>
    <w:p w:rsidR="007C464E" w:rsidRDefault="006B4C16">
      <w:pPr>
        <w:pStyle w:val="BodyText"/>
        <w:spacing w:before="139" w:line="360" w:lineRule="auto"/>
        <w:ind w:right="353"/>
        <w:jc w:val="both"/>
      </w:pPr>
      <w:r>
        <w:t>Primary percutaneous coronary intervention (</w:t>
      </w:r>
      <w:proofErr w:type="spellStart"/>
      <w:r>
        <w:t>pPCI</w:t>
      </w:r>
      <w:proofErr w:type="spellEnd"/>
      <w:r>
        <w:t>) is considered the gold standard treatment for patients with acute ST-elevation myocardial infarction (STEMI), as it significantly lowers both short and long-term mortality. This procedure successfully restores normal blood flow (TIMI-3 flow) in the infarct-related artery (IRA). Compromised kidney function is a recognized predictor of increased mortality and complications in STEMI patients undergoing primary PCI (</w:t>
      </w:r>
      <w:proofErr w:type="spellStart"/>
      <w:r>
        <w:t>pPCI</w:t>
      </w:r>
      <w:proofErr w:type="spellEnd"/>
      <w:r>
        <w:t>). This adverse prognostic effect can appear even with a mild reduction in renal function. Several studies have also identified impaired kidney function as an independent risk factor for the development of the slow-flow or no-reflow (SF/NR) phenomenon.</w:t>
      </w:r>
    </w:p>
    <w:p w:rsidR="007C464E" w:rsidRDefault="007C464E">
      <w:pPr>
        <w:pStyle w:val="BodyText"/>
        <w:spacing w:before="139"/>
        <w:ind w:left="0"/>
      </w:pPr>
    </w:p>
    <w:p w:rsidR="007C464E" w:rsidRDefault="006B4C16">
      <w:pPr>
        <w:pStyle w:val="BodyText"/>
        <w:spacing w:line="360" w:lineRule="auto"/>
        <w:ind w:right="358"/>
        <w:jc w:val="both"/>
      </w:pPr>
      <w:r>
        <w:rPr>
          <w:b/>
        </w:rPr>
        <w:t>Objective</w:t>
      </w:r>
      <w:r>
        <w:t>: T</w:t>
      </w:r>
      <w:r>
        <w:rPr>
          <w:color w:val="0E1115"/>
        </w:rPr>
        <w:t xml:space="preserve">o see the association of kidney dysfunction with patients having slow-flow/no- reflow phenomenon in STEMI patients undergoing </w:t>
      </w:r>
      <w:proofErr w:type="spellStart"/>
      <w:r>
        <w:rPr>
          <w:color w:val="0E1115"/>
        </w:rPr>
        <w:t>pPCI</w:t>
      </w:r>
      <w:proofErr w:type="spellEnd"/>
      <w:r>
        <w:rPr>
          <w:color w:val="0E1115"/>
        </w:rPr>
        <w:t xml:space="preserve"> and to evaluate its prognostic effect on short-term mortality in our local population</w:t>
      </w:r>
    </w:p>
    <w:p w:rsidR="007C464E" w:rsidRDefault="007C464E">
      <w:pPr>
        <w:pStyle w:val="BodyText"/>
        <w:spacing w:before="137"/>
        <w:ind w:left="0"/>
      </w:pPr>
    </w:p>
    <w:p w:rsidR="007C464E" w:rsidRDefault="006B4C16">
      <w:pPr>
        <w:pStyle w:val="BodyText"/>
        <w:spacing w:line="360" w:lineRule="auto"/>
        <w:ind w:right="358"/>
        <w:jc w:val="both"/>
      </w:pPr>
      <w:r>
        <w:rPr>
          <w:b/>
        </w:rPr>
        <w:t>Material</w:t>
      </w:r>
      <w:r w:rsidR="00B8053E">
        <w:rPr>
          <w:b/>
        </w:rPr>
        <w:t xml:space="preserve"> </w:t>
      </w:r>
      <w:r>
        <w:rPr>
          <w:b/>
        </w:rPr>
        <w:t>and</w:t>
      </w:r>
      <w:r w:rsidR="00B8053E">
        <w:rPr>
          <w:b/>
        </w:rPr>
        <w:t xml:space="preserve"> </w:t>
      </w:r>
      <w:r>
        <w:rPr>
          <w:b/>
        </w:rPr>
        <w:t>Methods:</w:t>
      </w:r>
      <w:r w:rsidR="00B8053E">
        <w:rPr>
          <w:b/>
        </w:rPr>
        <w:t xml:space="preserve"> </w:t>
      </w:r>
      <w:r>
        <w:t>The prospective</w:t>
      </w:r>
      <w:r w:rsidR="00EF1246">
        <w:t xml:space="preserve"> </w:t>
      </w:r>
      <w:r>
        <w:t>observational</w:t>
      </w:r>
      <w:r w:rsidR="00EF1246">
        <w:t xml:space="preserve"> </w:t>
      </w:r>
      <w:r>
        <w:t>study</w:t>
      </w:r>
      <w:r w:rsidR="00EF1246">
        <w:t xml:space="preserve"> </w:t>
      </w:r>
      <w:r>
        <w:t>was conducted</w:t>
      </w:r>
      <w:r w:rsidR="00EF1246">
        <w:t xml:space="preserve"> </w:t>
      </w:r>
      <w:r>
        <w:t>from 20-01-2025 to 15-05-2025 at the Cardiology Department, PIC Lahore</w:t>
      </w:r>
      <w:r w:rsidR="00B2010E">
        <w:t>. Patients of both genders age ranging from 18-75 years were enrolled</w:t>
      </w:r>
      <w:r>
        <w:t xml:space="preserve"> to investigate the association between estimated glomerular filtration rate (</w:t>
      </w:r>
      <w:proofErr w:type="spellStart"/>
      <w:r>
        <w:t>eGFR</w:t>
      </w:r>
      <w:proofErr w:type="spellEnd"/>
      <w:r>
        <w:t xml:space="preserve">) or serum creatinine and the incidence of SF/NR </w:t>
      </w:r>
      <w:r w:rsidR="00B2010E">
        <w:t xml:space="preserve">who were </w:t>
      </w:r>
      <w:r>
        <w:t xml:space="preserve">undergoing </w:t>
      </w:r>
      <w:proofErr w:type="spellStart"/>
      <w:r>
        <w:t>pPCI</w:t>
      </w:r>
      <w:proofErr w:type="spellEnd"/>
      <w:r>
        <w:t>.</w:t>
      </w:r>
    </w:p>
    <w:p w:rsidR="007C464E" w:rsidRDefault="006B4C16" w:rsidP="00EF1246">
      <w:pPr>
        <w:pStyle w:val="BodyText"/>
        <w:spacing w:line="360" w:lineRule="auto"/>
        <w:ind w:right="353"/>
        <w:jc w:val="both"/>
      </w:pPr>
      <w:r>
        <w:rPr>
          <w:b/>
        </w:rPr>
        <w:t xml:space="preserve">Results: </w:t>
      </w:r>
      <w:r>
        <w:t xml:space="preserve">Total enrollment of 227 patients having mean age 56.1 years, 154(68.0%) males and 73(32.0%) females, in which 16(7.0%) developed slow-flow/no-reflow post-PCI. Duration of pain, </w:t>
      </w:r>
      <w:proofErr w:type="spellStart"/>
      <w:r>
        <w:t>A.Fib</w:t>
      </w:r>
      <w:proofErr w:type="spellEnd"/>
      <w:r>
        <w:t>, complete heart block, and heart failure have statistically significant differences as p- value &lt; 0.05</w:t>
      </w:r>
      <w:r w:rsidR="00EF1246">
        <w:t xml:space="preserve"> </w:t>
      </w:r>
      <w:r>
        <w:t xml:space="preserve">and poorer baseline renal function, as evidenced by a lower </w:t>
      </w:r>
      <w:proofErr w:type="spellStart"/>
      <w:r>
        <w:t>eGFR</w:t>
      </w:r>
      <w:proofErr w:type="spellEnd"/>
      <w:r>
        <w:t xml:space="preserve"> (76.5±5.4 vs. 89.6±1.0 mL/min/1.73m², p=0.001). </w:t>
      </w:r>
      <w:proofErr w:type="spellStart"/>
      <w:r>
        <w:t>Angiographically</w:t>
      </w:r>
      <w:proofErr w:type="spellEnd"/>
      <w:r>
        <w:t>, the no-reflow group had higher rates of pre- procedural total occlusion (TIMI 0 flow) and lower stent implantation rates. Mortality 1(6.3%) observed in slow / no-flow group with an insign</w:t>
      </w:r>
      <w:r w:rsidR="00EF1246">
        <w:t>ificant p-value 0.141. Increas</w:t>
      </w:r>
      <w:r>
        <w:t>in</w:t>
      </w:r>
      <w:r w:rsidR="00EF1246">
        <w:t>g</w:t>
      </w:r>
      <w:r>
        <w:t xml:space="preserve"> age is an independent predictor, with each additional year raising the odds of slow/no-flow by about 4%. Hypertension doubled the likelihood of developing no-reflow p-value 0.020.</w:t>
      </w:r>
    </w:p>
    <w:p w:rsidR="007C464E" w:rsidRDefault="006B4C16">
      <w:pPr>
        <w:pStyle w:val="BodyText"/>
        <w:spacing w:before="2" w:line="360" w:lineRule="auto"/>
        <w:ind w:right="359"/>
        <w:jc w:val="both"/>
      </w:pPr>
      <w:r>
        <w:rPr>
          <w:b/>
        </w:rPr>
        <w:t xml:space="preserve">Conclusion: </w:t>
      </w:r>
      <w:r>
        <w:t>Impaired renal function significantly predicts slow-flow/no-reflow following primary PCI, underscoring the need for renal-based risk stratification before intervention</w:t>
      </w:r>
    </w:p>
    <w:p w:rsidR="007C464E" w:rsidRDefault="007C464E">
      <w:pPr>
        <w:pStyle w:val="BodyText"/>
        <w:spacing w:line="360" w:lineRule="auto"/>
        <w:jc w:val="both"/>
        <w:sectPr w:rsidR="007C464E">
          <w:type w:val="continuous"/>
          <w:pgSz w:w="12240" w:h="15840"/>
          <w:pgMar w:top="780" w:right="1080" w:bottom="280" w:left="1080" w:header="720" w:footer="720" w:gutter="0"/>
          <w:cols w:space="720"/>
        </w:sectPr>
      </w:pPr>
    </w:p>
    <w:p w:rsidR="007C464E" w:rsidRDefault="006B4C16">
      <w:pPr>
        <w:pStyle w:val="BodyText"/>
        <w:spacing w:before="71" w:line="480" w:lineRule="auto"/>
        <w:ind w:right="362"/>
        <w:jc w:val="both"/>
      </w:pPr>
      <w:r>
        <w:rPr>
          <w:b/>
        </w:rPr>
        <w:lastRenderedPageBreak/>
        <w:t xml:space="preserve">Keywords: </w:t>
      </w:r>
      <w:r>
        <w:t xml:space="preserve">No-Reflow Phenomenon, Slow-Flow, Primary Percutaneous Coronary Intervention, Acute Myocardial Infarction, Chronic Kidney Disease, Microvascular Obstruction, Endothelial </w:t>
      </w:r>
      <w:r>
        <w:rPr>
          <w:spacing w:val="-2"/>
        </w:rPr>
        <w:t>Dysfunction.</w:t>
      </w:r>
    </w:p>
    <w:p w:rsidR="007C464E" w:rsidRDefault="007C464E">
      <w:pPr>
        <w:pStyle w:val="BodyText"/>
        <w:ind w:left="0"/>
      </w:pPr>
    </w:p>
    <w:p w:rsidR="007C464E" w:rsidRDefault="007C464E">
      <w:pPr>
        <w:pStyle w:val="BodyText"/>
        <w:spacing w:before="248"/>
        <w:ind w:left="0"/>
      </w:pPr>
    </w:p>
    <w:p w:rsidR="007C464E" w:rsidRDefault="006B4C16">
      <w:pPr>
        <w:pStyle w:val="Heading1"/>
      </w:pPr>
      <w:r>
        <w:rPr>
          <w:spacing w:val="-2"/>
        </w:rPr>
        <w:t>Introduction</w:t>
      </w:r>
    </w:p>
    <w:p w:rsidR="007C464E" w:rsidRDefault="007C464E">
      <w:pPr>
        <w:pStyle w:val="BodyText"/>
        <w:spacing w:before="3"/>
        <w:ind w:left="0"/>
        <w:rPr>
          <w:b/>
        </w:rPr>
      </w:pPr>
    </w:p>
    <w:p w:rsidR="007C464E" w:rsidRDefault="006B4C16">
      <w:pPr>
        <w:pStyle w:val="BodyText"/>
        <w:spacing w:line="480" w:lineRule="auto"/>
        <w:ind w:right="354"/>
        <w:jc w:val="both"/>
      </w:pPr>
      <w:r>
        <w:t>Percutaneous coronary intervention (PCI) is the gold standard for treating acute ST-elevation myocardial infarction (STEMI) patients due to its ability to lower the risk of short-term mortality.</w:t>
      </w:r>
      <w:r>
        <w:rPr>
          <w:vertAlign w:val="superscript"/>
        </w:rPr>
        <w:t>1</w:t>
      </w:r>
      <w:r>
        <w:t xml:space="preserve"> </w:t>
      </w:r>
      <w:proofErr w:type="gramStart"/>
      <w:r>
        <w:t>Despite</w:t>
      </w:r>
      <w:proofErr w:type="gramEnd"/>
      <w:r w:rsidR="00EF1246">
        <w:t xml:space="preserve"> </w:t>
      </w:r>
      <w:r>
        <w:t>the</w:t>
      </w:r>
      <w:r w:rsidR="00EF1246">
        <w:t xml:space="preserve"> effectiveness </w:t>
      </w:r>
      <w:r>
        <w:t>recanalization</w:t>
      </w:r>
      <w:r w:rsidR="00EF1246">
        <w:t xml:space="preserve"> </w:t>
      </w:r>
      <w:r>
        <w:t>of</w:t>
      </w:r>
      <w:r w:rsidR="00EF1246">
        <w:t xml:space="preserve"> </w:t>
      </w:r>
      <w:r>
        <w:t>the</w:t>
      </w:r>
      <w:r w:rsidR="00EF1246">
        <w:t xml:space="preserve"> </w:t>
      </w:r>
      <w:r>
        <w:t>IRA,</w:t>
      </w:r>
      <w:r w:rsidR="00EF1246">
        <w:t xml:space="preserve"> </w:t>
      </w:r>
      <w:r>
        <w:t>patients continue</w:t>
      </w:r>
      <w:r w:rsidR="00EF1246">
        <w:t xml:space="preserve"> </w:t>
      </w:r>
      <w:r>
        <w:t>to</w:t>
      </w:r>
      <w:r w:rsidR="00EF1246">
        <w:t xml:space="preserve"> </w:t>
      </w:r>
      <w:r>
        <w:t xml:space="preserve">experience decreased cardiac perfusion. </w:t>
      </w:r>
      <w:r>
        <w:rPr>
          <w:vertAlign w:val="superscript"/>
        </w:rPr>
        <w:t>2</w:t>
      </w:r>
      <w:r>
        <w:t>It is referred to as the slow-flow or no-reflow phenomena; slow flow/no reflow is associated with the</w:t>
      </w:r>
      <w:r w:rsidR="00EF1246">
        <w:t xml:space="preserve"> </w:t>
      </w:r>
      <w:r>
        <w:t>extension of the</w:t>
      </w:r>
      <w:r w:rsidR="00EF1246">
        <w:t xml:space="preserve"> </w:t>
      </w:r>
      <w:r>
        <w:t>necrotic</w:t>
      </w:r>
      <w:r w:rsidR="00EF1246">
        <w:t xml:space="preserve"> </w:t>
      </w:r>
      <w:r>
        <w:t>area</w:t>
      </w:r>
      <w:r w:rsidR="00EF1246">
        <w:t xml:space="preserve"> </w:t>
      </w:r>
      <w:r>
        <w:t>in the</w:t>
      </w:r>
      <w:r w:rsidR="00EF1246">
        <w:t xml:space="preserve"> </w:t>
      </w:r>
      <w:r>
        <w:t xml:space="preserve">myocardium, increased exposure to various sequelae, and low prognosis among the STEMI patients in general. The pathophysiology and </w:t>
      </w:r>
      <w:proofErr w:type="spellStart"/>
      <w:r>
        <w:t>aetiology</w:t>
      </w:r>
      <w:proofErr w:type="spellEnd"/>
      <w:r>
        <w:t xml:space="preserve"> of the slow-flow/no-reflow phenomenon is complicated and not fully comprehended. </w:t>
      </w:r>
      <w:r>
        <w:rPr>
          <w:vertAlign w:val="superscript"/>
        </w:rPr>
        <w:t>3</w:t>
      </w:r>
      <w:r>
        <w:t xml:space="preserve"> Slow-flow/no-reflow in </w:t>
      </w:r>
      <w:proofErr w:type="spellStart"/>
      <w:r>
        <w:t>pPCI</w:t>
      </w:r>
      <w:proofErr w:type="spellEnd"/>
      <w:r>
        <w:t xml:space="preserve"> is one of the frequent complications that is associated with poor prognosis, with reported incidences ranging between 4-44%.</w:t>
      </w:r>
      <w:r>
        <w:rPr>
          <w:vertAlign w:val="superscript"/>
        </w:rPr>
        <w:t>4-6</w:t>
      </w:r>
      <w:r>
        <w:t xml:space="preserve"> The SF/NR phenomena possess a complicated pathophysiology that is not properly characterized in the literature. Some</w:t>
      </w:r>
      <w:r w:rsidR="007C6D8B">
        <w:t xml:space="preserve"> </w:t>
      </w:r>
      <w:r>
        <w:t>of</w:t>
      </w:r>
      <w:r w:rsidR="007C6D8B">
        <w:t xml:space="preserve"> </w:t>
      </w:r>
      <w:r>
        <w:t>the</w:t>
      </w:r>
      <w:r w:rsidR="007C6D8B">
        <w:t xml:space="preserve"> </w:t>
      </w:r>
      <w:r>
        <w:t>numerous hypothesized</w:t>
      </w:r>
      <w:r w:rsidR="007C6D8B">
        <w:t xml:space="preserve"> </w:t>
      </w:r>
      <w:r>
        <w:t>causes of</w:t>
      </w:r>
      <w:r w:rsidR="007C6D8B">
        <w:t xml:space="preserve"> </w:t>
      </w:r>
      <w:r>
        <w:t>this phenomenon include</w:t>
      </w:r>
      <w:r w:rsidR="007C6D8B">
        <w:t xml:space="preserve"> </w:t>
      </w:r>
      <w:r>
        <w:t>microvascular spasm, micro-embolization of thrombus fragments, and endothelial expansion due to reperfusion or myocardial damage. Several systemic and patient-specific factors raise the risk of SF/NR occurrence during primary PCI.</w:t>
      </w:r>
      <w:r>
        <w:rPr>
          <w:vertAlign w:val="superscript"/>
        </w:rPr>
        <w:t>7-9</w:t>
      </w:r>
    </w:p>
    <w:p w:rsidR="007C464E" w:rsidRDefault="007C464E">
      <w:pPr>
        <w:pStyle w:val="BodyText"/>
        <w:spacing w:before="9"/>
        <w:ind w:left="0"/>
      </w:pPr>
    </w:p>
    <w:p w:rsidR="007C464E" w:rsidRDefault="006B4C16">
      <w:pPr>
        <w:pStyle w:val="BodyText"/>
        <w:spacing w:before="1" w:line="480" w:lineRule="auto"/>
        <w:ind w:right="357"/>
        <w:jc w:val="both"/>
      </w:pPr>
      <w:r>
        <w:t>The most common reported relationships between many related factors were old age, delayed reperfusion, high thrombus burden, long length of the target lesion, low pre-procedure thrombolysis in myocardial infarction (TIMI) flow grade, and C-reactive protein.</w:t>
      </w:r>
      <w:r>
        <w:rPr>
          <w:vertAlign w:val="superscript"/>
        </w:rPr>
        <w:t>10</w:t>
      </w:r>
      <w:r>
        <w:t>There is no global recommendations on how to assess patients' risk before the treatment, different clinical and angiographic models have been used and studied in the last few years. Most of these efforts have</w:t>
      </w:r>
      <w:r w:rsidR="007C6D8B">
        <w:t xml:space="preserve"> </w:t>
      </w:r>
      <w:r>
        <w:t>concentrated</w:t>
      </w:r>
      <w:r w:rsidR="007C6D8B">
        <w:t xml:space="preserve"> </w:t>
      </w:r>
      <w:r>
        <w:t>on</w:t>
      </w:r>
      <w:r w:rsidR="007C6D8B">
        <w:t xml:space="preserve"> </w:t>
      </w:r>
      <w:r>
        <w:t>forecasting</w:t>
      </w:r>
      <w:r w:rsidR="007C6D8B">
        <w:t xml:space="preserve"> </w:t>
      </w:r>
      <w:r>
        <w:t>the</w:t>
      </w:r>
      <w:r w:rsidR="007C6D8B">
        <w:t xml:space="preserve"> </w:t>
      </w:r>
      <w:r>
        <w:t>post-procedure</w:t>
      </w:r>
      <w:r w:rsidR="007C6D8B">
        <w:t xml:space="preserve"> </w:t>
      </w:r>
      <w:r>
        <w:t>no-reflow</w:t>
      </w:r>
      <w:r w:rsidR="007C6D8B">
        <w:t xml:space="preserve"> </w:t>
      </w:r>
      <w:r>
        <w:t>issue.</w:t>
      </w:r>
      <w:r w:rsidR="007C6D8B">
        <w:t xml:space="preserve"> </w:t>
      </w:r>
      <w:r>
        <w:t>There</w:t>
      </w:r>
      <w:r w:rsidR="007C6D8B">
        <w:t xml:space="preserve"> </w:t>
      </w:r>
      <w:r>
        <w:t>is</w:t>
      </w:r>
      <w:r w:rsidR="007C6D8B">
        <w:t xml:space="preserve"> </w:t>
      </w:r>
      <w:r>
        <w:t>no</w:t>
      </w:r>
      <w:r w:rsidR="007C6D8B">
        <w:t xml:space="preserve"> </w:t>
      </w:r>
      <w:r>
        <w:rPr>
          <w:spacing w:val="-2"/>
        </w:rPr>
        <w:t>evidence</w:t>
      </w:r>
    </w:p>
    <w:p w:rsidR="007C464E" w:rsidRDefault="007C464E">
      <w:pPr>
        <w:pStyle w:val="BodyText"/>
        <w:spacing w:line="480" w:lineRule="auto"/>
        <w:jc w:val="both"/>
        <w:sectPr w:rsidR="007C464E">
          <w:pgSz w:w="12240" w:h="15840"/>
          <w:pgMar w:top="780" w:right="1080" w:bottom="280" w:left="1080" w:header="720" w:footer="720" w:gutter="0"/>
          <w:cols w:space="720"/>
        </w:sectPr>
      </w:pPr>
    </w:p>
    <w:p w:rsidR="007C464E" w:rsidRDefault="006B4C16">
      <w:pPr>
        <w:pStyle w:val="BodyText"/>
        <w:spacing w:before="71" w:line="480" w:lineRule="auto"/>
        <w:ind w:right="357"/>
        <w:jc w:val="both"/>
      </w:pPr>
      <w:proofErr w:type="gramStart"/>
      <w:r>
        <w:lastRenderedPageBreak/>
        <w:t>available</w:t>
      </w:r>
      <w:proofErr w:type="gramEnd"/>
      <w:r>
        <w:t xml:space="preserve"> to predict </w:t>
      </w:r>
      <w:proofErr w:type="spellStart"/>
      <w:r>
        <w:t>peri</w:t>
      </w:r>
      <w:proofErr w:type="spellEnd"/>
      <w:r>
        <w:t>-procedure SF/NR complications due to kidney dysfunction among STEMI patients treated with pPCI.</w:t>
      </w:r>
      <w:r>
        <w:rPr>
          <w:vertAlign w:val="superscript"/>
        </w:rPr>
        <w:t>11-13</w:t>
      </w:r>
      <w:r>
        <w:t xml:space="preserve"> This detrimental prognostic effect commences with the slightest deterioration in renal function. Research has shown that renal function independently predicts whether SF/NR will occur.</w:t>
      </w:r>
      <w:r>
        <w:rPr>
          <w:vertAlign w:val="superscript"/>
        </w:rPr>
        <w:t>14</w:t>
      </w:r>
      <w:r>
        <w:t>Nevertheless, there is a lack of data available that investigates how different degrees of renal dysfunction affect the condition of STEMI patients in our local population. Defining the presence of at-risk patients according to the estimated glomerular filtration rate (</w:t>
      </w:r>
      <w:proofErr w:type="spellStart"/>
      <w:r>
        <w:t>eGFR</w:t>
      </w:r>
      <w:proofErr w:type="spellEnd"/>
      <w:r>
        <w:t>) enables clinicians to predict complications and clinical outcomes.</w:t>
      </w:r>
    </w:p>
    <w:p w:rsidR="007C464E" w:rsidRDefault="007C464E">
      <w:pPr>
        <w:pStyle w:val="BodyText"/>
        <w:spacing w:before="9"/>
        <w:ind w:left="0"/>
      </w:pPr>
    </w:p>
    <w:p w:rsidR="007C464E" w:rsidRDefault="006B4C16">
      <w:pPr>
        <w:pStyle w:val="BodyText"/>
        <w:spacing w:line="480" w:lineRule="auto"/>
        <w:ind w:right="357"/>
        <w:jc w:val="both"/>
      </w:pPr>
      <w:r>
        <w:t xml:space="preserve">SF/NR during primary PCI represents impaired myocardial reperfusion despite successful </w:t>
      </w:r>
      <w:proofErr w:type="spellStart"/>
      <w:r>
        <w:t>epicardial</w:t>
      </w:r>
      <w:proofErr w:type="spellEnd"/>
      <w:r>
        <w:t xml:space="preserve"> vessel reopening and is strongly associated with larger infarct size, reduced left ventricular recovery, and worse short-term outcomes. Kidney dysfunction is common among patients with acute myocardial infarction and has been identified as an independent predictor of adverse</w:t>
      </w:r>
      <w:r w:rsidR="00B2010E">
        <w:t xml:space="preserve"> </w:t>
      </w:r>
      <w:r>
        <w:t>cardiovascular</w:t>
      </w:r>
      <w:r w:rsidR="00B2010E">
        <w:t xml:space="preserve"> </w:t>
      </w:r>
      <w:r>
        <w:t>events.</w:t>
      </w:r>
      <w:r w:rsidR="00B2010E">
        <w:t xml:space="preserve"> </w:t>
      </w:r>
      <w:r>
        <w:t>Even mild</w:t>
      </w:r>
      <w:r w:rsidR="00B2010E">
        <w:t xml:space="preserve"> </w:t>
      </w:r>
      <w:r>
        <w:t>reductions</w:t>
      </w:r>
      <w:r w:rsidR="00B2010E">
        <w:t xml:space="preserve"> </w:t>
      </w:r>
      <w:r>
        <w:t xml:space="preserve">in </w:t>
      </w:r>
      <w:proofErr w:type="spellStart"/>
      <w:r>
        <w:t>eGFR</w:t>
      </w:r>
      <w:proofErr w:type="spellEnd"/>
      <w:r>
        <w:t xml:space="preserve"> are</w:t>
      </w:r>
      <w:r w:rsidR="00B2010E">
        <w:t xml:space="preserve"> </w:t>
      </w:r>
      <w:r>
        <w:t>linked</w:t>
      </w:r>
      <w:r w:rsidR="00233E2E">
        <w:t xml:space="preserve"> </w:t>
      </w:r>
      <w:r>
        <w:t>to higher</w:t>
      </w:r>
      <w:r w:rsidR="00B2010E">
        <w:t xml:space="preserve"> </w:t>
      </w:r>
      <w:r>
        <w:t>rates</w:t>
      </w:r>
      <w:r w:rsidR="00233E2E">
        <w:t xml:space="preserve"> </w:t>
      </w:r>
      <w:r>
        <w:t>of</w:t>
      </w:r>
      <w:r w:rsidR="00233E2E">
        <w:t xml:space="preserve"> </w:t>
      </w:r>
      <w:r>
        <w:t>SF/NR during PCI</w:t>
      </w:r>
      <w:r>
        <w:rPr>
          <w:b/>
        </w:rPr>
        <w:t xml:space="preserve">. </w:t>
      </w:r>
      <w:r>
        <w:t>Pathophysiological mechanisms include systemic inflammation, endothelial dysfunction, oxidative stress, platelet hyper-reactivity, and accumulation of uremic toxins, all of which contribute to microvascular obstruction and reperfusion injury. However, the extent to which kidney dysfunction independently predicts SF/NR remains uncertain, as confounding factors such as age, diabetes, and higher thrombus burden may also play roles. Investigating this</w:t>
      </w:r>
    </w:p>
    <w:p w:rsidR="007C464E" w:rsidRDefault="007C464E">
      <w:pPr>
        <w:pStyle w:val="BodyText"/>
        <w:spacing w:line="480" w:lineRule="auto"/>
        <w:jc w:val="both"/>
        <w:sectPr w:rsidR="007C464E">
          <w:pgSz w:w="12240" w:h="15840"/>
          <w:pgMar w:top="780" w:right="1080" w:bottom="280" w:left="1080" w:header="720" w:footer="720" w:gutter="0"/>
          <w:cols w:space="720"/>
        </w:sectPr>
      </w:pPr>
    </w:p>
    <w:p w:rsidR="007C464E" w:rsidRDefault="006B4C16">
      <w:pPr>
        <w:pStyle w:val="BodyText"/>
        <w:spacing w:before="71" w:line="482" w:lineRule="auto"/>
        <w:ind w:right="369"/>
        <w:jc w:val="both"/>
      </w:pPr>
      <w:proofErr w:type="gramStart"/>
      <w:r>
        <w:lastRenderedPageBreak/>
        <w:t>relationship</w:t>
      </w:r>
      <w:proofErr w:type="gramEnd"/>
      <w:r>
        <w:t xml:space="preserve"> is essential to improve risk stratification and guide tailored interventional strategies in high-risk patients.</w:t>
      </w:r>
    </w:p>
    <w:p w:rsidR="007C464E" w:rsidRDefault="006B4C16">
      <w:pPr>
        <w:pStyle w:val="BodyText"/>
        <w:spacing w:line="480" w:lineRule="auto"/>
        <w:ind w:right="358"/>
        <w:jc w:val="both"/>
      </w:pPr>
      <w:r>
        <w:rPr>
          <w:b/>
        </w:rPr>
        <w:t xml:space="preserve">Objective: </w:t>
      </w:r>
      <w:r>
        <w:t>T</w:t>
      </w:r>
      <w:r>
        <w:rPr>
          <w:color w:val="0E1115"/>
        </w:rPr>
        <w:t xml:space="preserve">o see the association of kidney dysfunction with patients having slow-flow/no- reflow phenomenon in STEMI patients undergoing </w:t>
      </w:r>
      <w:proofErr w:type="spellStart"/>
      <w:r>
        <w:rPr>
          <w:color w:val="0E1115"/>
        </w:rPr>
        <w:t>pPCI</w:t>
      </w:r>
      <w:proofErr w:type="spellEnd"/>
      <w:r>
        <w:rPr>
          <w:color w:val="0E1115"/>
        </w:rPr>
        <w:t xml:space="preserve"> and to evaluate its prognostic effect on short-term mortality in our local population</w:t>
      </w:r>
      <w:r>
        <w:t>.</w:t>
      </w:r>
    </w:p>
    <w:p w:rsidR="007C464E" w:rsidRDefault="006B4C16">
      <w:pPr>
        <w:pStyle w:val="Heading1"/>
        <w:spacing w:before="196"/>
        <w:jc w:val="both"/>
      </w:pPr>
      <w:r>
        <w:t>Operational</w:t>
      </w:r>
      <w:r w:rsidR="00B8053E">
        <w:t xml:space="preserve"> </w:t>
      </w:r>
      <w:r>
        <w:rPr>
          <w:spacing w:val="-2"/>
        </w:rPr>
        <w:t>Definition:</w:t>
      </w:r>
    </w:p>
    <w:p w:rsidR="007C464E" w:rsidRDefault="007C464E">
      <w:pPr>
        <w:pStyle w:val="BodyText"/>
        <w:spacing w:before="63"/>
        <w:ind w:left="0"/>
        <w:rPr>
          <w:b/>
        </w:rPr>
      </w:pPr>
    </w:p>
    <w:p w:rsidR="007C464E" w:rsidRDefault="006B4C16">
      <w:pPr>
        <w:pStyle w:val="BodyText"/>
        <w:spacing w:line="480" w:lineRule="auto"/>
        <w:ind w:right="358"/>
        <w:jc w:val="both"/>
      </w:pPr>
      <w:r>
        <w:rPr>
          <w:b/>
        </w:rPr>
        <w:t>New myocardial infarction</w:t>
      </w:r>
      <w:r>
        <w:t>: The cardiac biomarker values had to be more than 20% higher, symptoms of duration of more than 20 minutes, and ECG showing ST-segment elevation or depression exceeding 1 mm in at least two adjacent leads.</w:t>
      </w:r>
    </w:p>
    <w:p w:rsidR="007C464E" w:rsidRDefault="006B4C16">
      <w:pPr>
        <w:pStyle w:val="BodyText"/>
        <w:spacing w:before="200" w:line="480" w:lineRule="auto"/>
        <w:ind w:right="360"/>
        <w:jc w:val="both"/>
      </w:pPr>
      <w:r>
        <w:rPr>
          <w:b/>
        </w:rPr>
        <w:t xml:space="preserve">No-reflow: </w:t>
      </w:r>
      <w:r>
        <w:t>Coronary angiographic evidence of a reopening of an occluded artery with an immediate reduction in coronary flow (TIMI grade 0-1) without high-grade residual stenosis, dissection, thrombus, or spasm at the target lesion.</w:t>
      </w:r>
    </w:p>
    <w:p w:rsidR="007C464E" w:rsidRDefault="006B4C16">
      <w:pPr>
        <w:pStyle w:val="BodyText"/>
        <w:spacing w:before="199" w:line="482" w:lineRule="auto"/>
        <w:ind w:right="364"/>
        <w:jc w:val="both"/>
      </w:pPr>
      <w:r>
        <w:t>The</w:t>
      </w:r>
      <w:r w:rsidR="00B8053E">
        <w:t xml:space="preserve"> </w:t>
      </w:r>
      <w:r>
        <w:t>phrase</w:t>
      </w:r>
      <w:r w:rsidR="00B8053E">
        <w:t xml:space="preserve"> </w:t>
      </w:r>
      <w:r>
        <w:t>"slow-flow" is usually reserved for TIMI grade-2</w:t>
      </w:r>
      <w:proofErr w:type="gramStart"/>
      <w:r>
        <w:t>;long</w:t>
      </w:r>
      <w:proofErr w:type="gramEnd"/>
      <w:r>
        <w:t xml:space="preserve"> target</w:t>
      </w:r>
      <w:r w:rsidR="00B8053E">
        <w:t xml:space="preserve"> </w:t>
      </w:r>
      <w:r>
        <w:t>lesions were</w:t>
      </w:r>
      <w:r w:rsidR="00B8053E">
        <w:t xml:space="preserve"> </w:t>
      </w:r>
      <w:r>
        <w:t>defined as those with a length of more than 20 mm.</w:t>
      </w:r>
    </w:p>
    <w:p w:rsidR="007C464E" w:rsidRDefault="006B4C16">
      <w:pPr>
        <w:pStyle w:val="BodyText"/>
        <w:spacing w:before="196" w:line="480" w:lineRule="auto"/>
        <w:ind w:right="358"/>
        <w:jc w:val="both"/>
      </w:pPr>
      <w:r>
        <w:t>Renal</w:t>
      </w:r>
      <w:r w:rsidR="00233E2E">
        <w:t xml:space="preserve"> </w:t>
      </w:r>
      <w:r>
        <w:t>dysfunction</w:t>
      </w:r>
      <w:r w:rsidR="00233E2E">
        <w:t xml:space="preserve"> </w:t>
      </w:r>
      <w:r>
        <w:t>refers to</w:t>
      </w:r>
      <w:r w:rsidR="00233E2E">
        <w:t xml:space="preserve"> </w:t>
      </w:r>
      <w:r>
        <w:t>an</w:t>
      </w:r>
      <w:r w:rsidR="00233E2E">
        <w:t xml:space="preserve"> </w:t>
      </w:r>
      <w:r>
        <w:t>abnormality</w:t>
      </w:r>
      <w:r w:rsidR="00B8053E">
        <w:t xml:space="preserve"> </w:t>
      </w:r>
      <w:r>
        <w:t>in the</w:t>
      </w:r>
      <w:r w:rsidR="00233E2E">
        <w:t xml:space="preserve"> </w:t>
      </w:r>
      <w:r>
        <w:t>structure</w:t>
      </w:r>
      <w:r w:rsidR="00233E2E">
        <w:t xml:space="preserve"> </w:t>
      </w:r>
      <w:r>
        <w:t>or</w:t>
      </w:r>
      <w:r w:rsidR="00233E2E">
        <w:t xml:space="preserve"> </w:t>
      </w:r>
      <w:r>
        <w:t>function</w:t>
      </w:r>
      <w:r w:rsidR="00233E2E">
        <w:t xml:space="preserve"> </w:t>
      </w:r>
      <w:r>
        <w:t>of the</w:t>
      </w:r>
      <w:r w:rsidR="00B8053E">
        <w:t xml:space="preserve"> </w:t>
      </w:r>
      <w:r>
        <w:t>kidneys</w:t>
      </w:r>
      <w:r w:rsidR="00233E2E">
        <w:t xml:space="preserve"> </w:t>
      </w:r>
      <w:r>
        <w:t>that</w:t>
      </w:r>
      <w:r w:rsidR="00233E2E">
        <w:t xml:space="preserve"> </w:t>
      </w:r>
      <w:r>
        <w:t>impairs their ability to maintain fluid and electrolyte balance, remove metabolic waste products, and regulate blood pressure and other essential physiological processes. It can range from a mild reduction in function to complete kidney failure.</w:t>
      </w:r>
    </w:p>
    <w:p w:rsidR="007C464E" w:rsidRDefault="006B4C16">
      <w:pPr>
        <w:pStyle w:val="BodyText"/>
        <w:spacing w:before="203"/>
        <w:jc w:val="both"/>
      </w:pPr>
      <w:r>
        <w:t>It</w:t>
      </w:r>
      <w:r w:rsidR="00233E2E">
        <w:t xml:space="preserve"> </w:t>
      </w:r>
      <w:r>
        <w:t>is</w:t>
      </w:r>
      <w:r w:rsidR="00233E2E">
        <w:t xml:space="preserve"> </w:t>
      </w:r>
      <w:r>
        <w:t>often</w:t>
      </w:r>
      <w:r w:rsidR="00233E2E">
        <w:t xml:space="preserve"> </w:t>
      </w:r>
      <w:r>
        <w:t>identified</w:t>
      </w:r>
      <w:r w:rsidR="00233E2E">
        <w:t xml:space="preserve"> </w:t>
      </w:r>
      <w:r>
        <w:rPr>
          <w:spacing w:val="-5"/>
        </w:rPr>
        <w:t>by:</w:t>
      </w:r>
    </w:p>
    <w:p w:rsidR="007C464E" w:rsidRDefault="007C464E">
      <w:pPr>
        <w:pStyle w:val="BodyText"/>
        <w:spacing w:before="3"/>
        <w:ind w:left="0"/>
      </w:pPr>
    </w:p>
    <w:p w:rsidR="007C464E" w:rsidRDefault="006B4C16">
      <w:pPr>
        <w:pStyle w:val="ListParagraph"/>
        <w:numPr>
          <w:ilvl w:val="0"/>
          <w:numId w:val="2"/>
        </w:numPr>
        <w:tabs>
          <w:tab w:val="left" w:pos="1080"/>
        </w:tabs>
        <w:ind w:left="1080" w:hanging="359"/>
        <w:rPr>
          <w:sz w:val="24"/>
        </w:rPr>
      </w:pPr>
      <w:r>
        <w:rPr>
          <w:sz w:val="24"/>
        </w:rPr>
        <w:t>Elevated</w:t>
      </w:r>
      <w:r w:rsidR="00B8053E">
        <w:rPr>
          <w:sz w:val="24"/>
        </w:rPr>
        <w:t xml:space="preserve"> </w:t>
      </w:r>
      <w:r>
        <w:rPr>
          <w:sz w:val="24"/>
        </w:rPr>
        <w:t>serum creatinine</w:t>
      </w:r>
      <w:r w:rsidR="00233E2E">
        <w:rPr>
          <w:sz w:val="24"/>
        </w:rPr>
        <w:t xml:space="preserve"> </w:t>
      </w:r>
      <w:r>
        <w:rPr>
          <w:sz w:val="24"/>
        </w:rPr>
        <w:t>or</w:t>
      </w:r>
      <w:r w:rsidR="00233E2E">
        <w:rPr>
          <w:sz w:val="24"/>
        </w:rPr>
        <w:t xml:space="preserve"> </w:t>
      </w:r>
      <w:r>
        <w:rPr>
          <w:sz w:val="24"/>
        </w:rPr>
        <w:t>reduced</w:t>
      </w:r>
      <w:r w:rsidR="00B8053E">
        <w:rPr>
          <w:sz w:val="24"/>
        </w:rPr>
        <w:t xml:space="preserve"> </w:t>
      </w:r>
      <w:r>
        <w:rPr>
          <w:sz w:val="24"/>
        </w:rPr>
        <w:t>glomerular</w:t>
      </w:r>
      <w:r w:rsidR="00B8053E">
        <w:rPr>
          <w:sz w:val="24"/>
        </w:rPr>
        <w:t xml:space="preserve"> </w:t>
      </w:r>
      <w:r>
        <w:rPr>
          <w:sz w:val="24"/>
        </w:rPr>
        <w:t>filtration</w:t>
      </w:r>
      <w:r w:rsidR="00B8053E">
        <w:rPr>
          <w:sz w:val="24"/>
        </w:rPr>
        <w:t xml:space="preserve"> </w:t>
      </w:r>
      <w:r>
        <w:rPr>
          <w:sz w:val="24"/>
        </w:rPr>
        <w:t>rate</w:t>
      </w:r>
      <w:r w:rsidR="00B8053E">
        <w:rPr>
          <w:sz w:val="24"/>
        </w:rPr>
        <w:t xml:space="preserve"> </w:t>
      </w:r>
      <w:r>
        <w:rPr>
          <w:spacing w:val="-2"/>
          <w:sz w:val="24"/>
        </w:rPr>
        <w:t>(</w:t>
      </w:r>
      <w:proofErr w:type="spellStart"/>
      <w:r>
        <w:rPr>
          <w:spacing w:val="-2"/>
          <w:sz w:val="24"/>
        </w:rPr>
        <w:t>eGFR</w:t>
      </w:r>
      <w:proofErr w:type="spellEnd"/>
      <w:r>
        <w:rPr>
          <w:spacing w:val="-2"/>
          <w:sz w:val="24"/>
        </w:rPr>
        <w:t>)</w:t>
      </w:r>
    </w:p>
    <w:p w:rsidR="007C464E" w:rsidRDefault="006B4C16">
      <w:pPr>
        <w:pStyle w:val="ListParagraph"/>
        <w:numPr>
          <w:ilvl w:val="0"/>
          <w:numId w:val="2"/>
        </w:numPr>
        <w:tabs>
          <w:tab w:val="left" w:pos="1080"/>
        </w:tabs>
        <w:spacing w:before="275"/>
        <w:ind w:left="1080" w:hanging="359"/>
        <w:rPr>
          <w:sz w:val="24"/>
        </w:rPr>
      </w:pPr>
      <w:r>
        <w:rPr>
          <w:sz w:val="24"/>
        </w:rPr>
        <w:t>Presence</w:t>
      </w:r>
      <w:r w:rsidR="00233E2E">
        <w:rPr>
          <w:sz w:val="24"/>
        </w:rPr>
        <w:t xml:space="preserve"> </w:t>
      </w:r>
      <w:r>
        <w:rPr>
          <w:sz w:val="24"/>
        </w:rPr>
        <w:t>of</w:t>
      </w:r>
      <w:r w:rsidR="00233E2E">
        <w:rPr>
          <w:sz w:val="24"/>
        </w:rPr>
        <w:t xml:space="preserve"> </w:t>
      </w:r>
      <w:r>
        <w:rPr>
          <w:sz w:val="24"/>
        </w:rPr>
        <w:t>proteinuria</w:t>
      </w:r>
      <w:r w:rsidR="00233E2E">
        <w:rPr>
          <w:sz w:val="24"/>
        </w:rPr>
        <w:t xml:space="preserve"> </w:t>
      </w:r>
      <w:r>
        <w:rPr>
          <w:sz w:val="24"/>
        </w:rPr>
        <w:t>or</w:t>
      </w:r>
      <w:r w:rsidR="00233E2E">
        <w:rPr>
          <w:sz w:val="24"/>
        </w:rPr>
        <w:t xml:space="preserve"> </w:t>
      </w:r>
      <w:r>
        <w:rPr>
          <w:spacing w:val="-2"/>
          <w:sz w:val="24"/>
        </w:rPr>
        <w:t>albuminuria</w:t>
      </w:r>
    </w:p>
    <w:p w:rsidR="007C464E" w:rsidRDefault="007C464E">
      <w:pPr>
        <w:pStyle w:val="BodyText"/>
        <w:spacing w:before="3"/>
        <w:ind w:left="0"/>
      </w:pPr>
    </w:p>
    <w:p w:rsidR="007C464E" w:rsidRDefault="006B4C16">
      <w:pPr>
        <w:pStyle w:val="ListParagraph"/>
        <w:numPr>
          <w:ilvl w:val="0"/>
          <w:numId w:val="2"/>
        </w:numPr>
        <w:tabs>
          <w:tab w:val="left" w:pos="1080"/>
        </w:tabs>
        <w:ind w:left="1080" w:hanging="359"/>
        <w:rPr>
          <w:sz w:val="24"/>
        </w:rPr>
      </w:pPr>
      <w:r>
        <w:rPr>
          <w:sz w:val="24"/>
        </w:rPr>
        <w:t>Structural</w:t>
      </w:r>
      <w:r w:rsidR="00B8053E">
        <w:rPr>
          <w:sz w:val="24"/>
        </w:rPr>
        <w:t xml:space="preserve"> </w:t>
      </w:r>
      <w:r>
        <w:rPr>
          <w:sz w:val="24"/>
        </w:rPr>
        <w:t>abnormalities</w:t>
      </w:r>
      <w:r w:rsidR="00B8053E">
        <w:rPr>
          <w:sz w:val="24"/>
        </w:rPr>
        <w:t xml:space="preserve"> </w:t>
      </w:r>
      <w:r>
        <w:rPr>
          <w:sz w:val="24"/>
        </w:rPr>
        <w:t>detected</w:t>
      </w:r>
      <w:r w:rsidR="00B8053E">
        <w:rPr>
          <w:sz w:val="24"/>
        </w:rPr>
        <w:t xml:space="preserve"> </w:t>
      </w:r>
      <w:r>
        <w:rPr>
          <w:sz w:val="24"/>
        </w:rPr>
        <w:t>by</w:t>
      </w:r>
      <w:r w:rsidR="00B8053E">
        <w:rPr>
          <w:sz w:val="24"/>
        </w:rPr>
        <w:t xml:space="preserve"> </w:t>
      </w:r>
      <w:r>
        <w:rPr>
          <w:sz w:val="24"/>
        </w:rPr>
        <w:t>imaging</w:t>
      </w:r>
      <w:r w:rsidR="00B8053E">
        <w:rPr>
          <w:sz w:val="24"/>
        </w:rPr>
        <w:t xml:space="preserve"> </w:t>
      </w:r>
      <w:r>
        <w:rPr>
          <w:sz w:val="24"/>
        </w:rPr>
        <w:t>or</w:t>
      </w:r>
      <w:r w:rsidR="00B8053E">
        <w:rPr>
          <w:sz w:val="24"/>
        </w:rPr>
        <w:t xml:space="preserve"> </w:t>
      </w:r>
      <w:r>
        <w:rPr>
          <w:spacing w:val="-2"/>
          <w:sz w:val="24"/>
        </w:rPr>
        <w:t>biopsy</w:t>
      </w:r>
    </w:p>
    <w:p w:rsidR="007C464E" w:rsidRDefault="007C464E">
      <w:pPr>
        <w:pStyle w:val="BodyText"/>
        <w:spacing w:before="3"/>
        <w:ind w:left="0"/>
      </w:pPr>
    </w:p>
    <w:p w:rsidR="007C464E" w:rsidRDefault="006B4C16">
      <w:pPr>
        <w:pStyle w:val="BodyText"/>
        <w:jc w:val="both"/>
      </w:pPr>
      <w:r>
        <w:rPr>
          <w:b/>
        </w:rPr>
        <w:t>Mortality</w:t>
      </w:r>
      <w:r>
        <w:t>:</w:t>
      </w:r>
      <w:r w:rsidR="00B8053E">
        <w:t xml:space="preserve"> </w:t>
      </w:r>
      <w:r>
        <w:t>Mortality</w:t>
      </w:r>
      <w:r w:rsidR="00B8053E">
        <w:t xml:space="preserve"> </w:t>
      </w:r>
      <w:r>
        <w:t>observed</w:t>
      </w:r>
      <w:r w:rsidR="00B8053E">
        <w:t xml:space="preserve"> </w:t>
      </w:r>
      <w:r>
        <w:t>within</w:t>
      </w:r>
      <w:r w:rsidR="00B8053E">
        <w:t xml:space="preserve"> </w:t>
      </w:r>
      <w:r>
        <w:t>30</w:t>
      </w:r>
      <w:r w:rsidR="00B8053E">
        <w:t xml:space="preserve"> </w:t>
      </w:r>
      <w:r>
        <w:t>days</w:t>
      </w:r>
      <w:r w:rsidR="00B8053E">
        <w:t xml:space="preserve"> </w:t>
      </w:r>
      <w:r>
        <w:t>after</w:t>
      </w:r>
      <w:r w:rsidR="00B8053E">
        <w:t xml:space="preserve"> </w:t>
      </w:r>
      <w:proofErr w:type="spellStart"/>
      <w:r>
        <w:rPr>
          <w:spacing w:val="-2"/>
        </w:rPr>
        <w:t>pPCI</w:t>
      </w:r>
      <w:proofErr w:type="spellEnd"/>
      <w:r>
        <w:rPr>
          <w:spacing w:val="-2"/>
        </w:rPr>
        <w:t>.</w:t>
      </w:r>
    </w:p>
    <w:p w:rsidR="007C464E" w:rsidRDefault="007C464E">
      <w:pPr>
        <w:pStyle w:val="BodyText"/>
        <w:jc w:val="both"/>
        <w:sectPr w:rsidR="007C464E">
          <w:pgSz w:w="12240" w:h="15840"/>
          <w:pgMar w:top="780" w:right="1080" w:bottom="280" w:left="1080" w:header="720" w:footer="720" w:gutter="0"/>
          <w:cols w:space="720"/>
        </w:sectPr>
      </w:pPr>
    </w:p>
    <w:p w:rsidR="007C464E" w:rsidRDefault="006B4C16">
      <w:pPr>
        <w:spacing w:before="61"/>
        <w:ind w:left="360"/>
        <w:rPr>
          <w:b/>
          <w:sz w:val="24"/>
        </w:rPr>
      </w:pPr>
      <w:r>
        <w:rPr>
          <w:b/>
          <w:sz w:val="24"/>
          <w:u w:val="single"/>
        </w:rPr>
        <w:lastRenderedPageBreak/>
        <w:t>Material</w:t>
      </w:r>
      <w:r w:rsidR="00B8053E">
        <w:rPr>
          <w:b/>
          <w:sz w:val="24"/>
          <w:u w:val="single"/>
        </w:rPr>
        <w:t xml:space="preserve"> </w:t>
      </w:r>
      <w:r>
        <w:rPr>
          <w:b/>
          <w:sz w:val="24"/>
          <w:u w:val="single"/>
        </w:rPr>
        <w:t>and</w:t>
      </w:r>
      <w:r w:rsidR="00B8053E">
        <w:rPr>
          <w:b/>
          <w:sz w:val="24"/>
          <w:u w:val="single"/>
        </w:rPr>
        <w:t xml:space="preserve"> </w:t>
      </w:r>
      <w:r>
        <w:rPr>
          <w:b/>
          <w:spacing w:val="-2"/>
          <w:sz w:val="24"/>
          <w:u w:val="single"/>
        </w:rPr>
        <w:t>Methods</w:t>
      </w:r>
    </w:p>
    <w:p w:rsidR="007C464E" w:rsidRDefault="006B4C16">
      <w:pPr>
        <w:pStyle w:val="BodyText"/>
        <w:spacing w:before="275" w:line="480" w:lineRule="auto"/>
        <w:ind w:right="353"/>
        <w:jc w:val="both"/>
      </w:pPr>
      <w:r>
        <w:t>This prospective observational study was carried out from 20/01/2025 to 15/05/2025, at the Punjab Institute of Cardiology, Lahore.</w:t>
      </w:r>
      <w:r w:rsidR="00B8053E">
        <w:t xml:space="preserve"> </w:t>
      </w:r>
      <w:r>
        <w:t xml:space="preserve">A total of 227 patients with a 5% margin of error and a 95% confidence interval were included in the primary PCI for </w:t>
      </w:r>
      <w:r w:rsidR="00B8053E">
        <w:t>STEMI</w:t>
      </w:r>
      <w:r w:rsidR="002912E2">
        <w:t xml:space="preserve">. </w:t>
      </w:r>
      <w:r>
        <w:t xml:space="preserve"> The</w:t>
      </w:r>
      <w:r w:rsidR="00B8053E">
        <w:t xml:space="preserve"> </w:t>
      </w:r>
      <w:r>
        <w:t xml:space="preserve">STEMI is </w:t>
      </w:r>
      <w:r w:rsidR="002912E2">
        <w:t xml:space="preserve">defined as </w:t>
      </w:r>
      <w:r>
        <w:t>at</w:t>
      </w:r>
      <w:r w:rsidR="002912E2">
        <w:t xml:space="preserve"> </w:t>
      </w:r>
      <w:r>
        <w:t>least0.1mV</w:t>
      </w:r>
      <w:r w:rsidR="002912E2">
        <w:t xml:space="preserve"> ST elevation</w:t>
      </w:r>
      <w:r>
        <w:t xml:space="preserve"> in</w:t>
      </w:r>
      <w:r w:rsidR="002912E2">
        <w:t xml:space="preserve"> </w:t>
      </w:r>
      <w:r>
        <w:t>two</w:t>
      </w:r>
      <w:r w:rsidR="002912E2">
        <w:t xml:space="preserve"> </w:t>
      </w:r>
      <w:r>
        <w:t>separate</w:t>
      </w:r>
      <w:r w:rsidR="002912E2">
        <w:t xml:space="preserve"> </w:t>
      </w:r>
      <w:r>
        <w:t>limb leads and/or 0.2 mV in two adjacent precordial leads.</w:t>
      </w:r>
      <w:r w:rsidR="00B8053E">
        <w:t xml:space="preserve"> </w:t>
      </w:r>
      <w:r>
        <w:t>Participants had to mee</w:t>
      </w:r>
      <w:r w:rsidR="002912E2">
        <w:t>t three criteria: (1) presentation</w:t>
      </w:r>
      <w:r>
        <w:t xml:space="preserve"> within 12 hours of symptoms; (2) diagnostic angiogram was performed to identify culprit vessel (3) the lesion was intervened. The exclusion criteria was(1) Patients on venous arterial extracorporeal membrane oxygenation, (2) history of previous ischemic heart disease, a culprit lesion in the left main trunk, a collateral artery, on </w:t>
      </w:r>
      <w:proofErr w:type="spellStart"/>
      <w:r>
        <w:t>haemodialysis</w:t>
      </w:r>
      <w:proofErr w:type="spellEnd"/>
      <w:r>
        <w:t>, or having cardiopulmonary arrest upon arrival at the emergency department.</w:t>
      </w:r>
    </w:p>
    <w:p w:rsidR="007C464E" w:rsidRDefault="006B4C16">
      <w:pPr>
        <w:pStyle w:val="BodyText"/>
        <w:spacing w:line="480" w:lineRule="auto"/>
        <w:ind w:right="353"/>
        <w:jc w:val="both"/>
      </w:pPr>
      <w:r>
        <w:t xml:space="preserve">The coronary angiography was performed through the radial approach, </w:t>
      </w:r>
      <w:proofErr w:type="spellStart"/>
      <w:r>
        <w:t>pPIC</w:t>
      </w:r>
      <w:proofErr w:type="spellEnd"/>
      <w:r>
        <w:t xml:space="preserve"> of IRA was carried out according to the international guidelines. All eligible patients were given 300 mg aspirin and </w:t>
      </w:r>
      <w:proofErr w:type="spellStart"/>
      <w:r>
        <w:t>clopidogrel</w:t>
      </w:r>
      <w:proofErr w:type="spellEnd"/>
      <w:r>
        <w:t xml:space="preserve"> 600mg before </w:t>
      </w:r>
      <w:proofErr w:type="spellStart"/>
      <w:r>
        <w:t>pPCI</w:t>
      </w:r>
      <w:proofErr w:type="spellEnd"/>
      <w:r>
        <w:t>. Only a subset of the patients with apparent</w:t>
      </w:r>
      <w:r w:rsidR="004F11F8">
        <w:t xml:space="preserve">ly </w:t>
      </w:r>
      <w:proofErr w:type="gramStart"/>
      <w:r w:rsidR="004F11F8">
        <w:t xml:space="preserve">large </w:t>
      </w:r>
      <w:r>
        <w:t xml:space="preserve"> intracoronary</w:t>
      </w:r>
      <w:proofErr w:type="gramEnd"/>
      <w:r>
        <w:t xml:space="preserve"> thrombi during </w:t>
      </w:r>
      <w:proofErr w:type="spellStart"/>
      <w:r>
        <w:t>pPCI</w:t>
      </w:r>
      <w:proofErr w:type="spellEnd"/>
      <w:r>
        <w:t xml:space="preserve"> were administered the GP2b/</w:t>
      </w:r>
      <w:proofErr w:type="spellStart"/>
      <w:r>
        <w:t>IIIa</w:t>
      </w:r>
      <w:proofErr w:type="spellEnd"/>
      <w:r>
        <w:t xml:space="preserve"> receptor inhibitor. The criteria of TIMI was used to measure the flow grades. The lesion in IRA was stented / ballooned, with no significant dissection or vasospasm. The treatment of the participants in the post-</w:t>
      </w:r>
      <w:proofErr w:type="spellStart"/>
      <w:r>
        <w:t>pPCI</w:t>
      </w:r>
      <w:proofErr w:type="spellEnd"/>
      <w:r>
        <w:t xml:space="preserve"> was done according to the guidelines.</w:t>
      </w:r>
    </w:p>
    <w:p w:rsidR="007C464E" w:rsidRDefault="006B4C16">
      <w:pPr>
        <w:pStyle w:val="BodyText"/>
        <w:spacing w:before="3" w:line="480" w:lineRule="auto"/>
        <w:ind w:right="355"/>
        <w:jc w:val="both"/>
      </w:pPr>
      <w:r>
        <w:t xml:space="preserve">The baseline clinical, angiographic, demographic, and procedural data have been recorded. The clinical data of the patients recorded hypertension, diabetes mellitus, family history of IHD, smoking, and dialysis. Findings of angiography </w:t>
      </w:r>
      <w:proofErr w:type="spellStart"/>
      <w:r>
        <w:t>i.e</w:t>
      </w:r>
      <w:proofErr w:type="spellEnd"/>
      <w:r>
        <w:t xml:space="preserve"> culprit vessel, stent diameter, length, and</w:t>
      </w:r>
      <w:r w:rsidR="00B8053E">
        <w:t xml:space="preserve"> </w:t>
      </w:r>
      <w:r>
        <w:t>the details of their medication, and laboratory test findings (CK, Troponin, hemoglobin, and creatinine</w:t>
      </w:r>
      <w:r w:rsidR="00B8053E">
        <w:t xml:space="preserve"> </w:t>
      </w:r>
      <w:r>
        <w:t>at</w:t>
      </w:r>
      <w:r w:rsidR="00B8053E">
        <w:t xml:space="preserve"> </w:t>
      </w:r>
      <w:r>
        <w:t>admission).</w:t>
      </w:r>
      <w:r w:rsidR="00B8053E">
        <w:t xml:space="preserve"> </w:t>
      </w:r>
      <w:r>
        <w:t>Before</w:t>
      </w:r>
      <w:r w:rsidR="00B8053E">
        <w:t xml:space="preserve"> </w:t>
      </w:r>
      <w:r>
        <w:t>primary</w:t>
      </w:r>
      <w:r w:rsidR="00B8053E">
        <w:t xml:space="preserve"> </w:t>
      </w:r>
      <w:r>
        <w:t>PCI,</w:t>
      </w:r>
      <w:r w:rsidR="00B8053E">
        <w:t xml:space="preserve"> </w:t>
      </w:r>
      <w:r>
        <w:t>creatinine</w:t>
      </w:r>
      <w:r w:rsidR="00B8053E">
        <w:t xml:space="preserve"> </w:t>
      </w:r>
      <w:r>
        <w:t>level</w:t>
      </w:r>
      <w:r w:rsidR="00B8053E">
        <w:t xml:space="preserve"> </w:t>
      </w:r>
      <w:r>
        <w:t>and</w:t>
      </w:r>
      <w:r w:rsidR="00B8053E">
        <w:t xml:space="preserve"> </w:t>
      </w:r>
      <w:proofErr w:type="spellStart"/>
      <w:r>
        <w:t>eGFR</w:t>
      </w:r>
      <w:proofErr w:type="spellEnd"/>
      <w:r w:rsidR="00B8053E">
        <w:t xml:space="preserve"> </w:t>
      </w:r>
      <w:r>
        <w:t>were</w:t>
      </w:r>
      <w:r w:rsidR="00B8053E">
        <w:t xml:space="preserve"> </w:t>
      </w:r>
      <w:r>
        <w:t>assessed</w:t>
      </w:r>
      <w:r w:rsidR="00B8053E">
        <w:t xml:space="preserve"> </w:t>
      </w:r>
      <w:r>
        <w:t>in</w:t>
      </w:r>
      <w:r w:rsidR="00B8053E">
        <w:t xml:space="preserve"> </w:t>
      </w:r>
      <w:r>
        <w:rPr>
          <w:spacing w:val="-2"/>
        </w:rPr>
        <w:t>every</w:t>
      </w:r>
    </w:p>
    <w:p w:rsidR="007C464E" w:rsidRDefault="007C464E">
      <w:pPr>
        <w:pStyle w:val="BodyText"/>
        <w:spacing w:line="480" w:lineRule="auto"/>
        <w:jc w:val="both"/>
        <w:sectPr w:rsidR="007C464E">
          <w:pgSz w:w="12240" w:h="15840"/>
          <w:pgMar w:top="1620" w:right="1080" w:bottom="280" w:left="1080" w:header="720" w:footer="720" w:gutter="0"/>
          <w:cols w:space="720"/>
        </w:sectPr>
      </w:pPr>
    </w:p>
    <w:p w:rsidR="007C464E" w:rsidRDefault="006B4C16">
      <w:pPr>
        <w:pStyle w:val="BodyText"/>
        <w:spacing w:before="91" w:line="480" w:lineRule="auto"/>
        <w:ind w:right="358"/>
        <w:jc w:val="both"/>
      </w:pPr>
      <w:proofErr w:type="gramStart"/>
      <w:r>
        <w:lastRenderedPageBreak/>
        <w:t>patient</w:t>
      </w:r>
      <w:proofErr w:type="gramEnd"/>
      <w:r>
        <w:t xml:space="preserve"> at the time of admission. Grading done </w:t>
      </w:r>
      <w:proofErr w:type="spellStart"/>
      <w:r>
        <w:t>i.e</w:t>
      </w:r>
      <w:proofErr w:type="spellEnd"/>
      <w:r>
        <w:t>, mildly reduced (</w:t>
      </w:r>
      <w:proofErr w:type="spellStart"/>
      <w:r>
        <w:t>eGFR</w:t>
      </w:r>
      <w:proofErr w:type="spellEnd"/>
      <w:r>
        <w:t xml:space="preserve"> 60–89ml/min/m</w:t>
      </w:r>
      <w:r>
        <w:rPr>
          <w:vertAlign w:val="superscript"/>
        </w:rPr>
        <w:t>2</w:t>
      </w:r>
      <w:r>
        <w:t>), mildly to moderately reduced (</w:t>
      </w:r>
      <w:proofErr w:type="spellStart"/>
      <w:r>
        <w:t>eGFR</w:t>
      </w:r>
      <w:proofErr w:type="spellEnd"/>
      <w:r>
        <w:t xml:space="preserve"> 45–59ml/min/m</w:t>
      </w:r>
      <w:r>
        <w:rPr>
          <w:vertAlign w:val="superscript"/>
        </w:rPr>
        <w:t>2</w:t>
      </w:r>
      <w:r>
        <w:t>), moderately to severely reduced (</w:t>
      </w:r>
      <w:proofErr w:type="spellStart"/>
      <w:r>
        <w:t>eGFR</w:t>
      </w:r>
      <w:proofErr w:type="spellEnd"/>
      <w:r>
        <w:t xml:space="preserve"> 30–44ml/min/m</w:t>
      </w:r>
      <w:r>
        <w:rPr>
          <w:vertAlign w:val="superscript"/>
        </w:rPr>
        <w:t>2</w:t>
      </w:r>
      <w:r>
        <w:t>), and severely reduced (</w:t>
      </w:r>
      <w:proofErr w:type="spellStart"/>
      <w:r>
        <w:t>eGFR</w:t>
      </w:r>
      <w:proofErr w:type="spellEnd"/>
      <w:r>
        <w:t xml:space="preserve"> 15–29ml/min/m</w:t>
      </w:r>
      <w:r>
        <w:rPr>
          <w:vertAlign w:val="superscript"/>
        </w:rPr>
        <w:t>2</w:t>
      </w:r>
      <w:r>
        <w:t>). After thirty days post- procedure, the patients were contacted by phone to see the mortality risk.</w:t>
      </w:r>
    </w:p>
    <w:p w:rsidR="007C464E" w:rsidRDefault="006B4C16">
      <w:pPr>
        <w:pStyle w:val="BodyText"/>
        <w:spacing w:before="3" w:line="480" w:lineRule="auto"/>
        <w:ind w:right="354"/>
        <w:jc w:val="both"/>
      </w:pPr>
      <w:r>
        <w:rPr>
          <w:b/>
        </w:rPr>
        <w:t xml:space="preserve">Statistical Analysis: </w:t>
      </w:r>
      <w:r>
        <w:t>The data were entered and analyzed using SPSS Version 27. The mean and the standard deviation were used to represent the continuous variables, and frequency (%) was used to represent the categorical variables. Chi-square test of categorical variables and the Student T test of continuous variables were utilized in the investigation of differences in the baselines of the groups. A p-value of below 0.05 was regarded as significant</w:t>
      </w:r>
    </w:p>
    <w:p w:rsidR="007C464E" w:rsidRDefault="006B4C16">
      <w:pPr>
        <w:spacing w:before="201"/>
        <w:ind w:left="360"/>
        <w:rPr>
          <w:b/>
          <w:sz w:val="24"/>
        </w:rPr>
      </w:pPr>
      <w:r>
        <w:rPr>
          <w:b/>
          <w:spacing w:val="-2"/>
          <w:sz w:val="24"/>
          <w:u w:val="single"/>
        </w:rPr>
        <w:t>Results</w:t>
      </w:r>
    </w:p>
    <w:p w:rsidR="007C464E" w:rsidRDefault="006B4C16">
      <w:pPr>
        <w:pStyle w:val="Heading1"/>
        <w:spacing w:before="199"/>
      </w:pPr>
      <w:r>
        <w:t>Table.1:</w:t>
      </w:r>
      <w:r w:rsidR="00B8053E">
        <w:t xml:space="preserve"> </w:t>
      </w:r>
      <w:r>
        <w:t>Comparison</w:t>
      </w:r>
      <w:r w:rsidR="00B8053E">
        <w:t xml:space="preserve"> </w:t>
      </w:r>
      <w:r>
        <w:t>of</w:t>
      </w:r>
      <w:r w:rsidR="00B8053E">
        <w:t xml:space="preserve"> </w:t>
      </w:r>
      <w:r>
        <w:t>Clinical</w:t>
      </w:r>
      <w:r w:rsidR="00B8053E">
        <w:t xml:space="preserve"> </w:t>
      </w:r>
      <w:r>
        <w:t>Characteristics</w:t>
      </w:r>
      <w:r w:rsidR="00B8053E">
        <w:t xml:space="preserve"> </w:t>
      </w:r>
      <w:r>
        <w:t>According</w:t>
      </w:r>
      <w:r w:rsidR="00B8053E">
        <w:t xml:space="preserve"> </w:t>
      </w:r>
      <w:r>
        <w:t>to</w:t>
      </w:r>
      <w:r w:rsidR="00B8053E">
        <w:t xml:space="preserve"> </w:t>
      </w:r>
      <w:r>
        <w:t>Post-Procedural</w:t>
      </w:r>
      <w:r w:rsidR="00B8053E">
        <w:t xml:space="preserve"> </w:t>
      </w:r>
      <w:r>
        <w:t>TIMI</w:t>
      </w:r>
      <w:r w:rsidR="00B8053E">
        <w:t xml:space="preserve"> </w:t>
      </w:r>
      <w:r>
        <w:rPr>
          <w:spacing w:val="-2"/>
        </w:rPr>
        <w:t>Flow.</w:t>
      </w:r>
    </w:p>
    <w:p w:rsidR="007C464E" w:rsidRDefault="007C464E">
      <w:pPr>
        <w:pStyle w:val="BodyText"/>
        <w:spacing w:before="8"/>
        <w:ind w:left="0"/>
        <w:rPr>
          <w:b/>
          <w:sz w:val="20"/>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460"/>
        <w:gridCol w:w="2246"/>
        <w:gridCol w:w="1946"/>
        <w:gridCol w:w="1976"/>
      </w:tblGrid>
      <w:tr w:rsidR="007C464E">
        <w:trPr>
          <w:trHeight w:val="365"/>
        </w:trPr>
        <w:tc>
          <w:tcPr>
            <w:tcW w:w="9584" w:type="dxa"/>
            <w:gridSpan w:val="5"/>
          </w:tcPr>
          <w:p w:rsidR="007C464E" w:rsidRDefault="006B4C16">
            <w:pPr>
              <w:pStyle w:val="TableParagraph"/>
              <w:spacing w:before="46"/>
              <w:ind w:left="0" w:right="2"/>
              <w:rPr>
                <w:b/>
                <w:sz w:val="24"/>
              </w:rPr>
            </w:pPr>
            <w:r>
              <w:rPr>
                <w:b/>
                <w:sz w:val="24"/>
              </w:rPr>
              <w:t>Research</w:t>
            </w:r>
            <w:r w:rsidR="00B8053E">
              <w:rPr>
                <w:b/>
                <w:sz w:val="24"/>
              </w:rPr>
              <w:t xml:space="preserve"> </w:t>
            </w:r>
            <w:r>
              <w:rPr>
                <w:b/>
                <w:spacing w:val="-2"/>
                <w:sz w:val="24"/>
              </w:rPr>
              <w:t>Variables</w:t>
            </w:r>
          </w:p>
        </w:tc>
      </w:tr>
      <w:tr w:rsidR="007C464E">
        <w:trPr>
          <w:trHeight w:val="365"/>
        </w:trPr>
        <w:tc>
          <w:tcPr>
            <w:tcW w:w="3416" w:type="dxa"/>
            <w:gridSpan w:val="2"/>
          </w:tcPr>
          <w:p w:rsidR="007C464E" w:rsidRDefault="006B4C16">
            <w:pPr>
              <w:pStyle w:val="TableParagraph"/>
              <w:spacing w:before="46"/>
              <w:ind w:left="980"/>
              <w:jc w:val="left"/>
              <w:rPr>
                <w:sz w:val="24"/>
              </w:rPr>
            </w:pPr>
            <w:r>
              <w:rPr>
                <w:b/>
                <w:spacing w:val="-2"/>
                <w:sz w:val="24"/>
              </w:rPr>
              <w:t>Age</w:t>
            </w:r>
            <w:r w:rsidR="00B8053E">
              <w:rPr>
                <w:b/>
                <w:spacing w:val="-2"/>
                <w:sz w:val="24"/>
              </w:rPr>
              <w:t xml:space="preserve"> </w:t>
            </w:r>
            <w:r>
              <w:rPr>
                <w:spacing w:val="-2"/>
                <w:sz w:val="24"/>
              </w:rPr>
              <w:t>(</w:t>
            </w:r>
            <w:proofErr w:type="spellStart"/>
            <w:r>
              <w:rPr>
                <w:spacing w:val="-2"/>
                <w:sz w:val="24"/>
              </w:rPr>
              <w:t>Mean±sd</w:t>
            </w:r>
            <w:proofErr w:type="spellEnd"/>
            <w:r>
              <w:rPr>
                <w:spacing w:val="-2"/>
                <w:sz w:val="24"/>
              </w:rPr>
              <w:t>)</w:t>
            </w:r>
          </w:p>
        </w:tc>
        <w:tc>
          <w:tcPr>
            <w:tcW w:w="2246" w:type="dxa"/>
          </w:tcPr>
          <w:p w:rsidR="007C464E" w:rsidRDefault="006B4C16">
            <w:pPr>
              <w:pStyle w:val="TableParagraph"/>
              <w:spacing w:before="46"/>
              <w:ind w:left="8" w:right="20"/>
              <w:rPr>
                <w:sz w:val="24"/>
              </w:rPr>
            </w:pPr>
            <w:r>
              <w:rPr>
                <w:spacing w:val="-2"/>
                <w:sz w:val="24"/>
              </w:rPr>
              <w:t>56.12±9.24</w:t>
            </w:r>
          </w:p>
        </w:tc>
        <w:tc>
          <w:tcPr>
            <w:tcW w:w="1946" w:type="dxa"/>
          </w:tcPr>
          <w:p w:rsidR="007C464E" w:rsidRDefault="006B4C16">
            <w:pPr>
              <w:pStyle w:val="TableParagraph"/>
              <w:spacing w:before="46"/>
              <w:ind w:left="5" w:right="12"/>
              <w:rPr>
                <w:b/>
                <w:sz w:val="24"/>
              </w:rPr>
            </w:pPr>
            <w:r>
              <w:rPr>
                <w:b/>
                <w:sz w:val="24"/>
              </w:rPr>
              <w:t>Age</w:t>
            </w:r>
            <w:r w:rsidR="00B8053E">
              <w:rPr>
                <w:b/>
                <w:sz w:val="24"/>
              </w:rPr>
              <w:t xml:space="preserve"> </w:t>
            </w:r>
            <w:r>
              <w:rPr>
                <w:b/>
                <w:spacing w:val="-4"/>
                <w:sz w:val="24"/>
              </w:rPr>
              <w:t>range</w:t>
            </w:r>
          </w:p>
        </w:tc>
        <w:tc>
          <w:tcPr>
            <w:tcW w:w="1976" w:type="dxa"/>
          </w:tcPr>
          <w:p w:rsidR="007C464E" w:rsidRDefault="006B4C16">
            <w:pPr>
              <w:pStyle w:val="TableParagraph"/>
              <w:spacing w:before="46"/>
              <w:ind w:left="64" w:right="59"/>
              <w:rPr>
                <w:sz w:val="24"/>
              </w:rPr>
            </w:pPr>
            <w:r>
              <w:rPr>
                <w:sz w:val="24"/>
              </w:rPr>
              <w:t>33-</w:t>
            </w:r>
            <w:r>
              <w:rPr>
                <w:spacing w:val="-5"/>
                <w:sz w:val="24"/>
              </w:rPr>
              <w:t>80</w:t>
            </w:r>
          </w:p>
        </w:tc>
      </w:tr>
      <w:tr w:rsidR="007C464E">
        <w:trPr>
          <w:trHeight w:val="365"/>
        </w:trPr>
        <w:tc>
          <w:tcPr>
            <w:tcW w:w="3416" w:type="dxa"/>
            <w:gridSpan w:val="2"/>
            <w:vMerge w:val="restart"/>
          </w:tcPr>
          <w:p w:rsidR="007C464E" w:rsidRDefault="006B4C16">
            <w:pPr>
              <w:pStyle w:val="TableParagraph"/>
              <w:spacing w:before="231"/>
              <w:rPr>
                <w:b/>
                <w:sz w:val="24"/>
              </w:rPr>
            </w:pPr>
            <w:r>
              <w:rPr>
                <w:b/>
                <w:spacing w:val="-2"/>
                <w:sz w:val="24"/>
              </w:rPr>
              <w:t>Gender</w:t>
            </w:r>
          </w:p>
        </w:tc>
        <w:tc>
          <w:tcPr>
            <w:tcW w:w="2246" w:type="dxa"/>
          </w:tcPr>
          <w:p w:rsidR="007C464E" w:rsidRDefault="006B4C16">
            <w:pPr>
              <w:pStyle w:val="TableParagraph"/>
              <w:spacing w:before="46"/>
              <w:ind w:right="21"/>
              <w:rPr>
                <w:b/>
                <w:sz w:val="24"/>
              </w:rPr>
            </w:pPr>
            <w:r>
              <w:rPr>
                <w:b/>
                <w:spacing w:val="-4"/>
                <w:sz w:val="24"/>
              </w:rPr>
              <w:t>Male</w:t>
            </w:r>
          </w:p>
        </w:tc>
        <w:tc>
          <w:tcPr>
            <w:tcW w:w="3922" w:type="dxa"/>
            <w:gridSpan w:val="2"/>
          </w:tcPr>
          <w:p w:rsidR="007C464E" w:rsidRDefault="006B4C16">
            <w:pPr>
              <w:pStyle w:val="TableParagraph"/>
              <w:spacing w:before="46"/>
              <w:ind w:left="0" w:right="17"/>
              <w:rPr>
                <w:sz w:val="24"/>
              </w:rPr>
            </w:pPr>
            <w:r>
              <w:rPr>
                <w:spacing w:val="-2"/>
                <w:sz w:val="24"/>
              </w:rPr>
              <w:t>154(68.0%)</w:t>
            </w:r>
          </w:p>
        </w:tc>
      </w:tr>
      <w:tr w:rsidR="007C464E">
        <w:trPr>
          <w:trHeight w:val="365"/>
        </w:trPr>
        <w:tc>
          <w:tcPr>
            <w:tcW w:w="3416" w:type="dxa"/>
            <w:gridSpan w:val="2"/>
            <w:vMerge/>
            <w:tcBorders>
              <w:top w:val="nil"/>
            </w:tcBorders>
          </w:tcPr>
          <w:p w:rsidR="007C464E" w:rsidRDefault="007C464E">
            <w:pPr>
              <w:rPr>
                <w:sz w:val="2"/>
                <w:szCs w:val="2"/>
              </w:rPr>
            </w:pPr>
          </w:p>
        </w:tc>
        <w:tc>
          <w:tcPr>
            <w:tcW w:w="2246" w:type="dxa"/>
          </w:tcPr>
          <w:p w:rsidR="007C464E" w:rsidRDefault="006B4C16">
            <w:pPr>
              <w:pStyle w:val="TableParagraph"/>
              <w:spacing w:before="46"/>
              <w:ind w:right="26"/>
              <w:rPr>
                <w:b/>
                <w:sz w:val="24"/>
              </w:rPr>
            </w:pPr>
            <w:r>
              <w:rPr>
                <w:b/>
                <w:spacing w:val="-2"/>
                <w:sz w:val="24"/>
              </w:rPr>
              <w:t>Female</w:t>
            </w:r>
          </w:p>
        </w:tc>
        <w:tc>
          <w:tcPr>
            <w:tcW w:w="3922" w:type="dxa"/>
            <w:gridSpan w:val="2"/>
          </w:tcPr>
          <w:p w:rsidR="007C464E" w:rsidRDefault="006B4C16">
            <w:pPr>
              <w:pStyle w:val="TableParagraph"/>
              <w:spacing w:before="46"/>
              <w:ind w:left="0" w:right="17"/>
              <w:rPr>
                <w:sz w:val="24"/>
              </w:rPr>
            </w:pPr>
            <w:r>
              <w:rPr>
                <w:spacing w:val="-2"/>
                <w:sz w:val="24"/>
              </w:rPr>
              <w:t>73(32.0%)</w:t>
            </w:r>
          </w:p>
        </w:tc>
      </w:tr>
      <w:tr w:rsidR="007C464E">
        <w:trPr>
          <w:trHeight w:val="610"/>
        </w:trPr>
        <w:tc>
          <w:tcPr>
            <w:tcW w:w="3416" w:type="dxa"/>
            <w:gridSpan w:val="2"/>
          </w:tcPr>
          <w:p w:rsidR="007C464E" w:rsidRDefault="006B4C16">
            <w:pPr>
              <w:pStyle w:val="TableParagraph"/>
              <w:spacing w:before="166"/>
              <w:ind w:left="925"/>
              <w:jc w:val="left"/>
              <w:rPr>
                <w:b/>
                <w:sz w:val="24"/>
              </w:rPr>
            </w:pPr>
            <w:r>
              <w:rPr>
                <w:b/>
                <w:spacing w:val="-2"/>
                <w:sz w:val="24"/>
              </w:rPr>
              <w:t>Characteristics</w:t>
            </w:r>
          </w:p>
        </w:tc>
        <w:tc>
          <w:tcPr>
            <w:tcW w:w="2246" w:type="dxa"/>
          </w:tcPr>
          <w:p w:rsidR="007C464E" w:rsidRDefault="006B4C16">
            <w:pPr>
              <w:pStyle w:val="TableParagraph"/>
              <w:spacing w:before="31"/>
              <w:ind w:left="716" w:hanging="80"/>
              <w:jc w:val="left"/>
              <w:rPr>
                <w:b/>
                <w:sz w:val="24"/>
              </w:rPr>
            </w:pPr>
            <w:r>
              <w:rPr>
                <w:b/>
                <w:sz w:val="24"/>
              </w:rPr>
              <w:t xml:space="preserve">TIMI=3 </w:t>
            </w:r>
            <w:r>
              <w:rPr>
                <w:b/>
                <w:spacing w:val="-2"/>
                <w:sz w:val="24"/>
              </w:rPr>
              <w:t>(n=211)</w:t>
            </w:r>
          </w:p>
        </w:tc>
        <w:tc>
          <w:tcPr>
            <w:tcW w:w="1946" w:type="dxa"/>
          </w:tcPr>
          <w:p w:rsidR="007C464E" w:rsidRDefault="006B4C16">
            <w:pPr>
              <w:pStyle w:val="TableParagraph"/>
              <w:spacing w:before="31"/>
              <w:ind w:left="625" w:hanging="550"/>
              <w:jc w:val="left"/>
              <w:rPr>
                <w:b/>
                <w:sz w:val="24"/>
              </w:rPr>
            </w:pPr>
            <w:r>
              <w:rPr>
                <w:b/>
                <w:sz w:val="24"/>
              </w:rPr>
              <w:t xml:space="preserve">Slow/No-Reflow </w:t>
            </w:r>
            <w:r>
              <w:rPr>
                <w:b/>
                <w:spacing w:val="-2"/>
                <w:sz w:val="24"/>
              </w:rPr>
              <w:t>(n=16)</w:t>
            </w:r>
          </w:p>
        </w:tc>
        <w:tc>
          <w:tcPr>
            <w:tcW w:w="1976" w:type="dxa"/>
          </w:tcPr>
          <w:p w:rsidR="007C464E" w:rsidRDefault="006B4C16">
            <w:pPr>
              <w:pStyle w:val="TableParagraph"/>
              <w:spacing w:before="166"/>
              <w:ind w:left="64" w:right="58"/>
              <w:rPr>
                <w:b/>
                <w:sz w:val="24"/>
              </w:rPr>
            </w:pPr>
            <w:r>
              <w:rPr>
                <w:b/>
                <w:sz w:val="24"/>
              </w:rPr>
              <w:t>p-</w:t>
            </w:r>
            <w:r>
              <w:rPr>
                <w:b/>
                <w:spacing w:val="-2"/>
                <w:sz w:val="24"/>
              </w:rPr>
              <w:t>value</w:t>
            </w:r>
          </w:p>
        </w:tc>
      </w:tr>
      <w:tr w:rsidR="007C464E">
        <w:trPr>
          <w:trHeight w:val="380"/>
        </w:trPr>
        <w:tc>
          <w:tcPr>
            <w:tcW w:w="3416" w:type="dxa"/>
            <w:gridSpan w:val="2"/>
          </w:tcPr>
          <w:p w:rsidR="007C464E" w:rsidRDefault="006B4C16">
            <w:pPr>
              <w:pStyle w:val="TableParagraph"/>
              <w:ind w:left="610"/>
              <w:jc w:val="left"/>
              <w:rPr>
                <w:sz w:val="24"/>
              </w:rPr>
            </w:pPr>
            <w:r>
              <w:rPr>
                <w:sz w:val="24"/>
              </w:rPr>
              <w:t>Age,</w:t>
            </w:r>
            <w:r w:rsidR="00B34FB4">
              <w:rPr>
                <w:sz w:val="24"/>
              </w:rPr>
              <w:t xml:space="preserve"> </w:t>
            </w:r>
            <w:r>
              <w:rPr>
                <w:sz w:val="24"/>
              </w:rPr>
              <w:t>Years</w:t>
            </w:r>
            <w:r w:rsidR="00B34FB4">
              <w:rPr>
                <w:sz w:val="24"/>
              </w:rPr>
              <w:t xml:space="preserve"> </w:t>
            </w:r>
            <w:r>
              <w:rPr>
                <w:spacing w:val="-2"/>
                <w:sz w:val="24"/>
              </w:rPr>
              <w:t>(</w:t>
            </w:r>
            <w:proofErr w:type="spellStart"/>
            <w:r>
              <w:rPr>
                <w:spacing w:val="-2"/>
                <w:sz w:val="24"/>
              </w:rPr>
              <w:t>Mean±sd</w:t>
            </w:r>
            <w:proofErr w:type="spellEnd"/>
            <w:r>
              <w:rPr>
                <w:spacing w:val="-2"/>
                <w:sz w:val="24"/>
              </w:rPr>
              <w:t>)</w:t>
            </w:r>
          </w:p>
        </w:tc>
        <w:tc>
          <w:tcPr>
            <w:tcW w:w="2246" w:type="dxa"/>
          </w:tcPr>
          <w:p w:rsidR="007C464E" w:rsidRDefault="006B4C16">
            <w:pPr>
              <w:pStyle w:val="TableParagraph"/>
              <w:ind w:left="26" w:right="20"/>
              <w:rPr>
                <w:sz w:val="24"/>
              </w:rPr>
            </w:pPr>
            <w:r>
              <w:rPr>
                <w:spacing w:val="-2"/>
                <w:sz w:val="24"/>
              </w:rPr>
              <w:t>56.1±9.2</w:t>
            </w:r>
          </w:p>
        </w:tc>
        <w:tc>
          <w:tcPr>
            <w:tcW w:w="1946" w:type="dxa"/>
          </w:tcPr>
          <w:p w:rsidR="007C464E" w:rsidRDefault="006B4C16">
            <w:pPr>
              <w:pStyle w:val="TableParagraph"/>
              <w:ind w:left="12" w:right="7"/>
              <w:rPr>
                <w:sz w:val="24"/>
              </w:rPr>
            </w:pPr>
            <w:r>
              <w:rPr>
                <w:spacing w:val="-2"/>
                <w:sz w:val="24"/>
              </w:rPr>
              <w:t>56.9±10.6</w:t>
            </w:r>
          </w:p>
        </w:tc>
        <w:tc>
          <w:tcPr>
            <w:tcW w:w="1976" w:type="dxa"/>
          </w:tcPr>
          <w:p w:rsidR="007C464E" w:rsidRDefault="006B4C16">
            <w:pPr>
              <w:pStyle w:val="TableParagraph"/>
              <w:ind w:left="64" w:right="59"/>
              <w:rPr>
                <w:sz w:val="24"/>
              </w:rPr>
            </w:pPr>
            <w:r>
              <w:rPr>
                <w:spacing w:val="-2"/>
                <w:sz w:val="24"/>
              </w:rPr>
              <w:t>0.466</w:t>
            </w:r>
          </w:p>
        </w:tc>
      </w:tr>
      <w:tr w:rsidR="007C464E">
        <w:trPr>
          <w:trHeight w:val="380"/>
        </w:trPr>
        <w:tc>
          <w:tcPr>
            <w:tcW w:w="1956" w:type="dxa"/>
            <w:vMerge w:val="restart"/>
          </w:tcPr>
          <w:p w:rsidR="007C464E" w:rsidRDefault="006B4C16">
            <w:pPr>
              <w:pStyle w:val="TableParagraph"/>
              <w:spacing w:before="271"/>
              <w:ind w:left="325"/>
              <w:jc w:val="left"/>
              <w:rPr>
                <w:sz w:val="24"/>
              </w:rPr>
            </w:pPr>
            <w:r>
              <w:rPr>
                <w:sz w:val="24"/>
              </w:rPr>
              <w:t>Gender,</w:t>
            </w:r>
            <w:r w:rsidR="00B34FB4">
              <w:rPr>
                <w:sz w:val="24"/>
              </w:rPr>
              <w:t xml:space="preserve"> </w:t>
            </w:r>
            <w:proofErr w:type="gramStart"/>
            <w:r>
              <w:rPr>
                <w:spacing w:val="-4"/>
                <w:sz w:val="24"/>
              </w:rPr>
              <w:t>n(</w:t>
            </w:r>
            <w:proofErr w:type="gramEnd"/>
            <w:r>
              <w:rPr>
                <w:spacing w:val="-4"/>
                <w:sz w:val="24"/>
              </w:rPr>
              <w:t>%)</w:t>
            </w:r>
          </w:p>
        </w:tc>
        <w:tc>
          <w:tcPr>
            <w:tcW w:w="1460" w:type="dxa"/>
          </w:tcPr>
          <w:p w:rsidR="007C464E" w:rsidRDefault="006B4C16">
            <w:pPr>
              <w:pStyle w:val="TableParagraph"/>
              <w:ind w:right="5"/>
              <w:rPr>
                <w:sz w:val="24"/>
              </w:rPr>
            </w:pPr>
            <w:r>
              <w:rPr>
                <w:spacing w:val="-4"/>
                <w:sz w:val="24"/>
              </w:rPr>
              <w:t>Male</w:t>
            </w:r>
          </w:p>
        </w:tc>
        <w:tc>
          <w:tcPr>
            <w:tcW w:w="2246" w:type="dxa"/>
          </w:tcPr>
          <w:p w:rsidR="007C464E" w:rsidRDefault="006B4C16">
            <w:pPr>
              <w:pStyle w:val="TableParagraph"/>
              <w:ind w:left="25" w:right="20"/>
              <w:rPr>
                <w:sz w:val="24"/>
              </w:rPr>
            </w:pPr>
            <w:r>
              <w:rPr>
                <w:spacing w:val="-2"/>
                <w:sz w:val="24"/>
              </w:rPr>
              <w:t>145(69.0%)</w:t>
            </w:r>
          </w:p>
        </w:tc>
        <w:tc>
          <w:tcPr>
            <w:tcW w:w="1946" w:type="dxa"/>
          </w:tcPr>
          <w:p w:rsidR="007C464E" w:rsidRDefault="006B4C16">
            <w:pPr>
              <w:pStyle w:val="TableParagraph"/>
              <w:ind w:left="12" w:right="7"/>
              <w:rPr>
                <w:sz w:val="24"/>
              </w:rPr>
            </w:pPr>
            <w:r>
              <w:rPr>
                <w:spacing w:val="-2"/>
                <w:sz w:val="24"/>
              </w:rPr>
              <w:t>9(76.0%)</w:t>
            </w:r>
          </w:p>
        </w:tc>
        <w:tc>
          <w:tcPr>
            <w:tcW w:w="1976" w:type="dxa"/>
            <w:vMerge w:val="restart"/>
          </w:tcPr>
          <w:p w:rsidR="007C464E" w:rsidRDefault="006B4C16">
            <w:pPr>
              <w:pStyle w:val="TableParagraph"/>
              <w:spacing w:before="271"/>
              <w:ind w:left="64" w:right="59"/>
              <w:rPr>
                <w:sz w:val="24"/>
              </w:rPr>
            </w:pPr>
            <w:r>
              <w:rPr>
                <w:spacing w:val="-2"/>
                <w:sz w:val="24"/>
              </w:rPr>
              <w:t>0.445</w:t>
            </w:r>
          </w:p>
        </w:tc>
      </w:tr>
      <w:tr w:rsidR="007C464E">
        <w:trPr>
          <w:trHeight w:val="380"/>
        </w:trPr>
        <w:tc>
          <w:tcPr>
            <w:tcW w:w="1956" w:type="dxa"/>
            <w:vMerge/>
            <w:tcBorders>
              <w:top w:val="nil"/>
            </w:tcBorders>
          </w:tcPr>
          <w:p w:rsidR="007C464E" w:rsidRDefault="007C464E">
            <w:pPr>
              <w:rPr>
                <w:sz w:val="2"/>
                <w:szCs w:val="2"/>
              </w:rPr>
            </w:pPr>
          </w:p>
        </w:tc>
        <w:tc>
          <w:tcPr>
            <w:tcW w:w="1460" w:type="dxa"/>
          </w:tcPr>
          <w:p w:rsidR="007C464E" w:rsidRDefault="006B4C16">
            <w:pPr>
              <w:pStyle w:val="TableParagraph"/>
              <w:ind w:right="5"/>
              <w:rPr>
                <w:sz w:val="24"/>
              </w:rPr>
            </w:pPr>
            <w:r>
              <w:rPr>
                <w:spacing w:val="-2"/>
                <w:sz w:val="24"/>
              </w:rPr>
              <w:t>Female</w:t>
            </w:r>
          </w:p>
        </w:tc>
        <w:tc>
          <w:tcPr>
            <w:tcW w:w="2246" w:type="dxa"/>
          </w:tcPr>
          <w:p w:rsidR="007C464E" w:rsidRDefault="006B4C16">
            <w:pPr>
              <w:pStyle w:val="TableParagraph"/>
              <w:ind w:left="25" w:right="20"/>
              <w:rPr>
                <w:sz w:val="24"/>
              </w:rPr>
            </w:pPr>
            <w:r>
              <w:rPr>
                <w:spacing w:val="-2"/>
                <w:sz w:val="24"/>
              </w:rPr>
              <w:t>66(31.0%)</w:t>
            </w:r>
          </w:p>
        </w:tc>
        <w:tc>
          <w:tcPr>
            <w:tcW w:w="1946" w:type="dxa"/>
          </w:tcPr>
          <w:p w:rsidR="007C464E" w:rsidRDefault="006B4C16">
            <w:pPr>
              <w:pStyle w:val="TableParagraph"/>
              <w:ind w:left="12" w:right="7"/>
              <w:rPr>
                <w:sz w:val="24"/>
              </w:rPr>
            </w:pPr>
            <w:r>
              <w:rPr>
                <w:spacing w:val="-2"/>
                <w:sz w:val="24"/>
              </w:rPr>
              <w:t>7(24.0%)</w:t>
            </w:r>
          </w:p>
        </w:tc>
        <w:tc>
          <w:tcPr>
            <w:tcW w:w="1976" w:type="dxa"/>
            <w:vMerge/>
            <w:tcBorders>
              <w:top w:val="nil"/>
            </w:tcBorders>
          </w:tcPr>
          <w:p w:rsidR="007C464E" w:rsidRDefault="007C464E">
            <w:pPr>
              <w:rPr>
                <w:sz w:val="2"/>
                <w:szCs w:val="2"/>
              </w:rPr>
            </w:pPr>
          </w:p>
        </w:tc>
      </w:tr>
      <w:tr w:rsidR="007C464E">
        <w:trPr>
          <w:trHeight w:val="380"/>
        </w:trPr>
        <w:tc>
          <w:tcPr>
            <w:tcW w:w="1956" w:type="dxa"/>
            <w:vMerge w:val="restart"/>
          </w:tcPr>
          <w:p w:rsidR="007C464E" w:rsidRDefault="006B4C16">
            <w:pPr>
              <w:pStyle w:val="TableParagraph"/>
              <w:spacing w:before="271"/>
              <w:ind w:left="150"/>
              <w:jc w:val="left"/>
              <w:rPr>
                <w:sz w:val="24"/>
              </w:rPr>
            </w:pPr>
            <w:proofErr w:type="gramStart"/>
            <w:r>
              <w:rPr>
                <w:spacing w:val="-2"/>
                <w:sz w:val="24"/>
              </w:rPr>
              <w:t>Hypertension(</w:t>
            </w:r>
            <w:proofErr w:type="gramEnd"/>
            <w:r>
              <w:rPr>
                <w:spacing w:val="-2"/>
                <w:sz w:val="24"/>
              </w:rPr>
              <w:t>%)</w:t>
            </w:r>
          </w:p>
        </w:tc>
        <w:tc>
          <w:tcPr>
            <w:tcW w:w="1460" w:type="dxa"/>
          </w:tcPr>
          <w:p w:rsidR="007C464E" w:rsidRDefault="006B4C16">
            <w:pPr>
              <w:pStyle w:val="TableParagraph"/>
              <w:ind w:right="3"/>
              <w:rPr>
                <w:sz w:val="24"/>
              </w:rPr>
            </w:pPr>
            <w:r>
              <w:rPr>
                <w:spacing w:val="-5"/>
                <w:sz w:val="24"/>
              </w:rPr>
              <w:t>Yes</w:t>
            </w:r>
          </w:p>
        </w:tc>
        <w:tc>
          <w:tcPr>
            <w:tcW w:w="2246" w:type="dxa"/>
          </w:tcPr>
          <w:p w:rsidR="007C464E" w:rsidRDefault="006B4C16">
            <w:pPr>
              <w:pStyle w:val="TableParagraph"/>
              <w:ind w:left="25" w:right="20"/>
              <w:rPr>
                <w:sz w:val="24"/>
              </w:rPr>
            </w:pPr>
            <w:r>
              <w:rPr>
                <w:spacing w:val="-2"/>
                <w:sz w:val="24"/>
              </w:rPr>
              <w:t>97(46.0%)</w:t>
            </w:r>
          </w:p>
        </w:tc>
        <w:tc>
          <w:tcPr>
            <w:tcW w:w="1946" w:type="dxa"/>
          </w:tcPr>
          <w:p w:rsidR="007C464E" w:rsidRDefault="006B4C16">
            <w:pPr>
              <w:pStyle w:val="TableParagraph"/>
              <w:ind w:left="12" w:right="7"/>
              <w:rPr>
                <w:sz w:val="24"/>
              </w:rPr>
            </w:pPr>
            <w:r>
              <w:rPr>
                <w:spacing w:val="-2"/>
                <w:sz w:val="24"/>
              </w:rPr>
              <w:t>6(37.5%)</w:t>
            </w:r>
          </w:p>
        </w:tc>
        <w:tc>
          <w:tcPr>
            <w:tcW w:w="1976" w:type="dxa"/>
            <w:vMerge w:val="restart"/>
          </w:tcPr>
          <w:p w:rsidR="007C464E" w:rsidRDefault="006B4C16">
            <w:pPr>
              <w:pStyle w:val="TableParagraph"/>
              <w:spacing w:before="271"/>
              <w:ind w:left="64" w:right="59"/>
              <w:rPr>
                <w:sz w:val="24"/>
              </w:rPr>
            </w:pPr>
            <w:r>
              <w:rPr>
                <w:spacing w:val="-2"/>
                <w:sz w:val="24"/>
              </w:rPr>
              <w:t>0.698</w:t>
            </w:r>
          </w:p>
        </w:tc>
      </w:tr>
      <w:tr w:rsidR="007C464E">
        <w:trPr>
          <w:trHeight w:val="379"/>
        </w:trPr>
        <w:tc>
          <w:tcPr>
            <w:tcW w:w="1956" w:type="dxa"/>
            <w:vMerge/>
            <w:tcBorders>
              <w:top w:val="nil"/>
            </w:tcBorders>
          </w:tcPr>
          <w:p w:rsidR="007C464E" w:rsidRDefault="007C464E">
            <w:pPr>
              <w:rPr>
                <w:sz w:val="2"/>
                <w:szCs w:val="2"/>
              </w:rPr>
            </w:pPr>
          </w:p>
        </w:tc>
        <w:tc>
          <w:tcPr>
            <w:tcW w:w="1460" w:type="dxa"/>
          </w:tcPr>
          <w:p w:rsidR="007C464E" w:rsidRDefault="006B4C16">
            <w:pPr>
              <w:pStyle w:val="TableParagraph"/>
              <w:rPr>
                <w:sz w:val="24"/>
              </w:rPr>
            </w:pPr>
            <w:r>
              <w:rPr>
                <w:spacing w:val="-5"/>
                <w:sz w:val="24"/>
              </w:rPr>
              <w:t>No</w:t>
            </w:r>
          </w:p>
        </w:tc>
        <w:tc>
          <w:tcPr>
            <w:tcW w:w="2246" w:type="dxa"/>
          </w:tcPr>
          <w:p w:rsidR="007C464E" w:rsidRDefault="006B4C16">
            <w:pPr>
              <w:pStyle w:val="TableParagraph"/>
              <w:ind w:left="25" w:right="20"/>
              <w:rPr>
                <w:sz w:val="24"/>
              </w:rPr>
            </w:pPr>
            <w:r>
              <w:rPr>
                <w:spacing w:val="-2"/>
                <w:sz w:val="24"/>
              </w:rPr>
              <w:t>114(54.0%)</w:t>
            </w:r>
          </w:p>
        </w:tc>
        <w:tc>
          <w:tcPr>
            <w:tcW w:w="1946" w:type="dxa"/>
          </w:tcPr>
          <w:p w:rsidR="007C464E" w:rsidRDefault="006B4C16">
            <w:pPr>
              <w:pStyle w:val="TableParagraph"/>
              <w:ind w:left="12" w:right="7"/>
              <w:rPr>
                <w:sz w:val="24"/>
              </w:rPr>
            </w:pPr>
            <w:r>
              <w:rPr>
                <w:spacing w:val="-2"/>
                <w:sz w:val="24"/>
              </w:rPr>
              <w:t>10(62.5%)</w:t>
            </w:r>
          </w:p>
        </w:tc>
        <w:tc>
          <w:tcPr>
            <w:tcW w:w="1976" w:type="dxa"/>
            <w:vMerge/>
            <w:tcBorders>
              <w:top w:val="nil"/>
            </w:tcBorders>
          </w:tcPr>
          <w:p w:rsidR="007C464E" w:rsidRDefault="007C464E">
            <w:pPr>
              <w:rPr>
                <w:sz w:val="2"/>
                <w:szCs w:val="2"/>
              </w:rPr>
            </w:pPr>
          </w:p>
        </w:tc>
      </w:tr>
      <w:tr w:rsidR="007C464E">
        <w:trPr>
          <w:trHeight w:val="380"/>
        </w:trPr>
        <w:tc>
          <w:tcPr>
            <w:tcW w:w="1956" w:type="dxa"/>
            <w:vMerge w:val="restart"/>
          </w:tcPr>
          <w:p w:rsidR="007C464E" w:rsidRDefault="006B4C16">
            <w:pPr>
              <w:pStyle w:val="TableParagraph"/>
              <w:spacing w:before="67" w:line="320" w:lineRule="atLeast"/>
              <w:ind w:left="735" w:right="112" w:hanging="606"/>
              <w:jc w:val="left"/>
              <w:rPr>
                <w:sz w:val="24"/>
              </w:rPr>
            </w:pPr>
            <w:r>
              <w:rPr>
                <w:sz w:val="24"/>
              </w:rPr>
              <w:t>Diabetes</w:t>
            </w:r>
            <w:r w:rsidR="00B34FB4">
              <w:rPr>
                <w:sz w:val="24"/>
              </w:rPr>
              <w:t xml:space="preserve"> </w:t>
            </w:r>
            <w:r>
              <w:rPr>
                <w:sz w:val="24"/>
              </w:rPr>
              <w:t xml:space="preserve">Mellitus </w:t>
            </w:r>
            <w:proofErr w:type="gramStart"/>
            <w:r>
              <w:rPr>
                <w:spacing w:val="-4"/>
                <w:sz w:val="24"/>
              </w:rPr>
              <w:t>n(</w:t>
            </w:r>
            <w:proofErr w:type="gramEnd"/>
            <w:r>
              <w:rPr>
                <w:spacing w:val="-4"/>
                <w:sz w:val="24"/>
              </w:rPr>
              <w:t>%)</w:t>
            </w:r>
          </w:p>
        </w:tc>
        <w:tc>
          <w:tcPr>
            <w:tcW w:w="1460" w:type="dxa"/>
          </w:tcPr>
          <w:p w:rsidR="007C464E" w:rsidRDefault="006B4C16">
            <w:pPr>
              <w:pStyle w:val="TableParagraph"/>
              <w:ind w:right="3"/>
              <w:rPr>
                <w:sz w:val="24"/>
              </w:rPr>
            </w:pPr>
            <w:r>
              <w:rPr>
                <w:spacing w:val="-5"/>
                <w:sz w:val="24"/>
              </w:rPr>
              <w:t>Yes</w:t>
            </w:r>
          </w:p>
        </w:tc>
        <w:tc>
          <w:tcPr>
            <w:tcW w:w="2246" w:type="dxa"/>
          </w:tcPr>
          <w:p w:rsidR="007C464E" w:rsidRDefault="006B4C16">
            <w:pPr>
              <w:pStyle w:val="TableParagraph"/>
              <w:ind w:left="25" w:right="20"/>
              <w:rPr>
                <w:sz w:val="24"/>
              </w:rPr>
            </w:pPr>
            <w:r>
              <w:rPr>
                <w:spacing w:val="-2"/>
                <w:sz w:val="24"/>
              </w:rPr>
              <w:t>96(45.5%)</w:t>
            </w:r>
          </w:p>
        </w:tc>
        <w:tc>
          <w:tcPr>
            <w:tcW w:w="1946" w:type="dxa"/>
          </w:tcPr>
          <w:p w:rsidR="007C464E" w:rsidRDefault="006B4C16">
            <w:pPr>
              <w:pStyle w:val="TableParagraph"/>
              <w:ind w:left="12" w:right="7"/>
              <w:rPr>
                <w:sz w:val="24"/>
              </w:rPr>
            </w:pPr>
            <w:r>
              <w:rPr>
                <w:spacing w:val="-2"/>
                <w:sz w:val="24"/>
              </w:rPr>
              <w:t>8(50.0%)</w:t>
            </w:r>
          </w:p>
        </w:tc>
        <w:tc>
          <w:tcPr>
            <w:tcW w:w="1976" w:type="dxa"/>
            <w:vMerge w:val="restart"/>
          </w:tcPr>
          <w:p w:rsidR="007C464E" w:rsidRDefault="006B4C16">
            <w:pPr>
              <w:pStyle w:val="TableParagraph"/>
              <w:spacing w:before="271"/>
              <w:ind w:left="64" w:right="59"/>
              <w:rPr>
                <w:sz w:val="24"/>
              </w:rPr>
            </w:pPr>
            <w:r>
              <w:rPr>
                <w:spacing w:val="-2"/>
                <w:sz w:val="24"/>
              </w:rPr>
              <w:t>0.925</w:t>
            </w:r>
          </w:p>
        </w:tc>
      </w:tr>
      <w:tr w:rsidR="007C464E">
        <w:trPr>
          <w:trHeight w:val="380"/>
        </w:trPr>
        <w:tc>
          <w:tcPr>
            <w:tcW w:w="1956" w:type="dxa"/>
            <w:vMerge/>
            <w:tcBorders>
              <w:top w:val="nil"/>
            </w:tcBorders>
          </w:tcPr>
          <w:p w:rsidR="007C464E" w:rsidRDefault="007C464E">
            <w:pPr>
              <w:rPr>
                <w:sz w:val="2"/>
                <w:szCs w:val="2"/>
              </w:rPr>
            </w:pPr>
          </w:p>
        </w:tc>
        <w:tc>
          <w:tcPr>
            <w:tcW w:w="1460" w:type="dxa"/>
          </w:tcPr>
          <w:p w:rsidR="007C464E" w:rsidRDefault="006B4C16">
            <w:pPr>
              <w:pStyle w:val="TableParagraph"/>
              <w:rPr>
                <w:sz w:val="24"/>
              </w:rPr>
            </w:pPr>
            <w:r>
              <w:rPr>
                <w:spacing w:val="-5"/>
                <w:sz w:val="24"/>
              </w:rPr>
              <w:t>No</w:t>
            </w:r>
          </w:p>
        </w:tc>
        <w:tc>
          <w:tcPr>
            <w:tcW w:w="2246" w:type="dxa"/>
          </w:tcPr>
          <w:p w:rsidR="007C464E" w:rsidRDefault="006B4C16">
            <w:pPr>
              <w:pStyle w:val="TableParagraph"/>
              <w:ind w:left="25" w:right="20"/>
              <w:rPr>
                <w:sz w:val="24"/>
              </w:rPr>
            </w:pPr>
            <w:r>
              <w:rPr>
                <w:spacing w:val="-2"/>
                <w:sz w:val="24"/>
              </w:rPr>
              <w:t>115(54.5%)</w:t>
            </w:r>
          </w:p>
        </w:tc>
        <w:tc>
          <w:tcPr>
            <w:tcW w:w="1946" w:type="dxa"/>
          </w:tcPr>
          <w:p w:rsidR="007C464E" w:rsidRDefault="006B4C16">
            <w:pPr>
              <w:pStyle w:val="TableParagraph"/>
              <w:ind w:left="12" w:right="7"/>
              <w:rPr>
                <w:sz w:val="24"/>
              </w:rPr>
            </w:pPr>
            <w:r>
              <w:rPr>
                <w:spacing w:val="-2"/>
                <w:sz w:val="24"/>
              </w:rPr>
              <w:t>8(50.0%)</w:t>
            </w:r>
          </w:p>
        </w:tc>
        <w:tc>
          <w:tcPr>
            <w:tcW w:w="1976" w:type="dxa"/>
            <w:vMerge/>
            <w:tcBorders>
              <w:top w:val="nil"/>
            </w:tcBorders>
          </w:tcPr>
          <w:p w:rsidR="007C464E" w:rsidRDefault="007C464E">
            <w:pPr>
              <w:rPr>
                <w:sz w:val="2"/>
                <w:szCs w:val="2"/>
              </w:rPr>
            </w:pPr>
          </w:p>
        </w:tc>
      </w:tr>
      <w:tr w:rsidR="007C464E">
        <w:trPr>
          <w:trHeight w:val="575"/>
        </w:trPr>
        <w:tc>
          <w:tcPr>
            <w:tcW w:w="1956" w:type="dxa"/>
            <w:vMerge w:val="restart"/>
          </w:tcPr>
          <w:p w:rsidR="007C464E" w:rsidRDefault="007C464E">
            <w:pPr>
              <w:pStyle w:val="TableParagraph"/>
              <w:spacing w:before="29"/>
              <w:ind w:left="0"/>
              <w:jc w:val="left"/>
              <w:rPr>
                <w:b/>
                <w:sz w:val="24"/>
              </w:rPr>
            </w:pPr>
          </w:p>
          <w:p w:rsidR="007C464E" w:rsidRDefault="006B4C16">
            <w:pPr>
              <w:pStyle w:val="TableParagraph"/>
              <w:spacing w:before="1" w:line="278" w:lineRule="auto"/>
              <w:ind w:left="525" w:right="231" w:hanging="276"/>
              <w:jc w:val="left"/>
              <w:rPr>
                <w:sz w:val="24"/>
              </w:rPr>
            </w:pPr>
            <w:r>
              <w:rPr>
                <w:sz w:val="24"/>
              </w:rPr>
              <w:t>Family</w:t>
            </w:r>
            <w:r w:rsidR="00B34FB4">
              <w:rPr>
                <w:sz w:val="24"/>
              </w:rPr>
              <w:t xml:space="preserve"> </w:t>
            </w:r>
            <w:r>
              <w:rPr>
                <w:sz w:val="24"/>
              </w:rPr>
              <w:t xml:space="preserve">History </w:t>
            </w:r>
            <w:r>
              <w:rPr>
                <w:spacing w:val="-2"/>
                <w:sz w:val="24"/>
              </w:rPr>
              <w:t>IHD</w:t>
            </w:r>
            <w:r w:rsidR="00B34FB4">
              <w:rPr>
                <w:spacing w:val="-2"/>
                <w:sz w:val="24"/>
              </w:rPr>
              <w:t xml:space="preserve"> </w:t>
            </w:r>
            <w:proofErr w:type="gramStart"/>
            <w:r>
              <w:rPr>
                <w:spacing w:val="-2"/>
                <w:sz w:val="24"/>
              </w:rPr>
              <w:t>n(</w:t>
            </w:r>
            <w:proofErr w:type="gramEnd"/>
            <w:r>
              <w:rPr>
                <w:spacing w:val="-2"/>
                <w:sz w:val="24"/>
              </w:rPr>
              <w:t>%)</w:t>
            </w:r>
          </w:p>
        </w:tc>
        <w:tc>
          <w:tcPr>
            <w:tcW w:w="1460" w:type="dxa"/>
          </w:tcPr>
          <w:p w:rsidR="007C464E" w:rsidRDefault="006B4C16">
            <w:pPr>
              <w:pStyle w:val="TableParagraph"/>
              <w:spacing w:before="176"/>
              <w:ind w:right="3"/>
              <w:rPr>
                <w:sz w:val="24"/>
              </w:rPr>
            </w:pPr>
            <w:r>
              <w:rPr>
                <w:spacing w:val="-5"/>
                <w:sz w:val="24"/>
              </w:rPr>
              <w:t>Yes</w:t>
            </w:r>
          </w:p>
        </w:tc>
        <w:tc>
          <w:tcPr>
            <w:tcW w:w="2246" w:type="dxa"/>
          </w:tcPr>
          <w:p w:rsidR="007C464E" w:rsidRDefault="006B4C16">
            <w:pPr>
              <w:pStyle w:val="TableParagraph"/>
              <w:spacing w:before="31"/>
              <w:ind w:left="25" w:right="20"/>
              <w:rPr>
                <w:sz w:val="24"/>
              </w:rPr>
            </w:pPr>
            <w:r>
              <w:rPr>
                <w:spacing w:val="-2"/>
                <w:sz w:val="24"/>
              </w:rPr>
              <w:t>82(38.9%)</w:t>
            </w:r>
          </w:p>
        </w:tc>
        <w:tc>
          <w:tcPr>
            <w:tcW w:w="1946" w:type="dxa"/>
          </w:tcPr>
          <w:p w:rsidR="007C464E" w:rsidRDefault="006B4C16">
            <w:pPr>
              <w:pStyle w:val="TableParagraph"/>
              <w:spacing w:before="31"/>
              <w:ind w:left="12" w:right="7"/>
              <w:rPr>
                <w:sz w:val="24"/>
              </w:rPr>
            </w:pPr>
            <w:r>
              <w:rPr>
                <w:spacing w:val="-2"/>
                <w:sz w:val="24"/>
              </w:rPr>
              <w:t>7(43.8%)</w:t>
            </w:r>
          </w:p>
        </w:tc>
        <w:tc>
          <w:tcPr>
            <w:tcW w:w="1976" w:type="dxa"/>
            <w:vMerge w:val="restart"/>
          </w:tcPr>
          <w:p w:rsidR="007C464E" w:rsidRDefault="007C464E">
            <w:pPr>
              <w:pStyle w:val="TableParagraph"/>
              <w:spacing w:before="189"/>
              <w:ind w:left="0"/>
              <w:jc w:val="left"/>
              <w:rPr>
                <w:b/>
                <w:sz w:val="24"/>
              </w:rPr>
            </w:pPr>
          </w:p>
          <w:p w:rsidR="007C464E" w:rsidRDefault="006B4C16">
            <w:pPr>
              <w:pStyle w:val="TableParagraph"/>
              <w:spacing w:before="1"/>
              <w:ind w:left="64" w:right="59"/>
              <w:rPr>
                <w:sz w:val="24"/>
              </w:rPr>
            </w:pPr>
            <w:r>
              <w:rPr>
                <w:spacing w:val="-2"/>
                <w:sz w:val="24"/>
              </w:rPr>
              <w:t>0.891</w:t>
            </w:r>
          </w:p>
        </w:tc>
      </w:tr>
      <w:tr w:rsidR="007C464E">
        <w:trPr>
          <w:trHeight w:val="580"/>
        </w:trPr>
        <w:tc>
          <w:tcPr>
            <w:tcW w:w="1956" w:type="dxa"/>
            <w:vMerge/>
            <w:tcBorders>
              <w:top w:val="nil"/>
            </w:tcBorders>
          </w:tcPr>
          <w:p w:rsidR="007C464E" w:rsidRDefault="007C464E">
            <w:pPr>
              <w:rPr>
                <w:sz w:val="2"/>
                <w:szCs w:val="2"/>
              </w:rPr>
            </w:pPr>
          </w:p>
        </w:tc>
        <w:tc>
          <w:tcPr>
            <w:tcW w:w="1460" w:type="dxa"/>
          </w:tcPr>
          <w:p w:rsidR="007C464E" w:rsidRDefault="006B4C16">
            <w:pPr>
              <w:pStyle w:val="TableParagraph"/>
              <w:spacing w:before="176"/>
              <w:rPr>
                <w:sz w:val="24"/>
              </w:rPr>
            </w:pPr>
            <w:r>
              <w:rPr>
                <w:spacing w:val="-5"/>
                <w:sz w:val="24"/>
              </w:rPr>
              <w:t>No</w:t>
            </w:r>
          </w:p>
        </w:tc>
        <w:tc>
          <w:tcPr>
            <w:tcW w:w="2246" w:type="dxa"/>
          </w:tcPr>
          <w:p w:rsidR="007C464E" w:rsidRDefault="006B4C16">
            <w:pPr>
              <w:pStyle w:val="TableParagraph"/>
              <w:spacing w:before="31"/>
              <w:ind w:left="25" w:right="20"/>
              <w:rPr>
                <w:sz w:val="24"/>
              </w:rPr>
            </w:pPr>
            <w:r>
              <w:rPr>
                <w:spacing w:val="-2"/>
                <w:sz w:val="24"/>
              </w:rPr>
              <w:t>129(61.1%)</w:t>
            </w:r>
          </w:p>
        </w:tc>
        <w:tc>
          <w:tcPr>
            <w:tcW w:w="1946" w:type="dxa"/>
          </w:tcPr>
          <w:p w:rsidR="007C464E" w:rsidRDefault="006B4C16">
            <w:pPr>
              <w:pStyle w:val="TableParagraph"/>
              <w:spacing w:before="31"/>
              <w:ind w:left="12" w:right="7"/>
              <w:rPr>
                <w:sz w:val="24"/>
              </w:rPr>
            </w:pPr>
            <w:r>
              <w:rPr>
                <w:spacing w:val="-2"/>
                <w:sz w:val="24"/>
              </w:rPr>
              <w:t>9(56.2%)</w:t>
            </w:r>
          </w:p>
        </w:tc>
        <w:tc>
          <w:tcPr>
            <w:tcW w:w="1976" w:type="dxa"/>
            <w:vMerge/>
            <w:tcBorders>
              <w:top w:val="nil"/>
            </w:tcBorders>
          </w:tcPr>
          <w:p w:rsidR="007C464E" w:rsidRDefault="007C464E">
            <w:pPr>
              <w:rPr>
                <w:sz w:val="2"/>
                <w:szCs w:val="2"/>
              </w:rPr>
            </w:pPr>
          </w:p>
        </w:tc>
      </w:tr>
      <w:tr w:rsidR="007C464E">
        <w:trPr>
          <w:trHeight w:val="575"/>
        </w:trPr>
        <w:tc>
          <w:tcPr>
            <w:tcW w:w="1956" w:type="dxa"/>
            <w:vMerge w:val="restart"/>
          </w:tcPr>
          <w:p w:rsidR="007C464E" w:rsidRDefault="007C464E">
            <w:pPr>
              <w:pStyle w:val="TableParagraph"/>
              <w:spacing w:before="190"/>
              <w:ind w:left="0"/>
              <w:jc w:val="left"/>
              <w:rPr>
                <w:b/>
                <w:sz w:val="24"/>
              </w:rPr>
            </w:pPr>
          </w:p>
          <w:p w:rsidR="007C464E" w:rsidRDefault="006B4C16">
            <w:pPr>
              <w:pStyle w:val="TableParagraph"/>
              <w:spacing w:before="0"/>
              <w:ind w:left="275"/>
              <w:jc w:val="left"/>
              <w:rPr>
                <w:sz w:val="24"/>
              </w:rPr>
            </w:pPr>
            <w:r>
              <w:rPr>
                <w:sz w:val="24"/>
              </w:rPr>
              <w:t>Smoking</w:t>
            </w:r>
            <w:r w:rsidR="00B34FB4">
              <w:rPr>
                <w:sz w:val="24"/>
              </w:rPr>
              <w:t xml:space="preserve"> </w:t>
            </w:r>
            <w:proofErr w:type="gramStart"/>
            <w:r>
              <w:rPr>
                <w:spacing w:val="-4"/>
                <w:sz w:val="24"/>
              </w:rPr>
              <w:t>n(</w:t>
            </w:r>
            <w:proofErr w:type="gramEnd"/>
            <w:r>
              <w:rPr>
                <w:spacing w:val="-4"/>
                <w:sz w:val="24"/>
              </w:rPr>
              <w:t>%)</w:t>
            </w:r>
          </w:p>
        </w:tc>
        <w:tc>
          <w:tcPr>
            <w:tcW w:w="1460" w:type="dxa"/>
          </w:tcPr>
          <w:p w:rsidR="007C464E" w:rsidRDefault="006B4C16">
            <w:pPr>
              <w:pStyle w:val="TableParagraph"/>
              <w:spacing w:before="176"/>
              <w:ind w:right="3"/>
              <w:rPr>
                <w:sz w:val="24"/>
              </w:rPr>
            </w:pPr>
            <w:r>
              <w:rPr>
                <w:spacing w:val="-5"/>
                <w:sz w:val="24"/>
              </w:rPr>
              <w:t>Yes</w:t>
            </w:r>
          </w:p>
        </w:tc>
        <w:tc>
          <w:tcPr>
            <w:tcW w:w="2246" w:type="dxa"/>
          </w:tcPr>
          <w:p w:rsidR="007C464E" w:rsidRDefault="006B4C16">
            <w:pPr>
              <w:pStyle w:val="TableParagraph"/>
              <w:spacing w:before="31"/>
              <w:ind w:left="25" w:right="20"/>
              <w:rPr>
                <w:sz w:val="24"/>
              </w:rPr>
            </w:pPr>
            <w:r>
              <w:rPr>
                <w:spacing w:val="-2"/>
                <w:sz w:val="24"/>
              </w:rPr>
              <w:t>112(53.1%)</w:t>
            </w:r>
          </w:p>
        </w:tc>
        <w:tc>
          <w:tcPr>
            <w:tcW w:w="1946" w:type="dxa"/>
          </w:tcPr>
          <w:p w:rsidR="007C464E" w:rsidRDefault="006B4C16">
            <w:pPr>
              <w:pStyle w:val="TableParagraph"/>
              <w:spacing w:before="31"/>
              <w:ind w:left="12" w:right="7"/>
              <w:rPr>
                <w:sz w:val="24"/>
              </w:rPr>
            </w:pPr>
            <w:r>
              <w:rPr>
                <w:spacing w:val="-2"/>
                <w:sz w:val="24"/>
              </w:rPr>
              <w:t>11(69.0%)</w:t>
            </w:r>
          </w:p>
        </w:tc>
        <w:tc>
          <w:tcPr>
            <w:tcW w:w="1976" w:type="dxa"/>
            <w:vMerge w:val="restart"/>
          </w:tcPr>
          <w:p w:rsidR="007C464E" w:rsidRDefault="007C464E">
            <w:pPr>
              <w:pStyle w:val="TableParagraph"/>
              <w:spacing w:before="190"/>
              <w:ind w:left="0"/>
              <w:jc w:val="left"/>
              <w:rPr>
                <w:b/>
                <w:sz w:val="24"/>
              </w:rPr>
            </w:pPr>
          </w:p>
          <w:p w:rsidR="007C464E" w:rsidRDefault="006B4C16">
            <w:pPr>
              <w:pStyle w:val="TableParagraph"/>
              <w:spacing w:before="0"/>
              <w:ind w:left="64" w:right="59"/>
              <w:rPr>
                <w:sz w:val="24"/>
              </w:rPr>
            </w:pPr>
            <w:r>
              <w:rPr>
                <w:spacing w:val="-2"/>
                <w:sz w:val="24"/>
              </w:rPr>
              <w:t>0.342</w:t>
            </w:r>
          </w:p>
        </w:tc>
      </w:tr>
      <w:tr w:rsidR="007C464E">
        <w:trPr>
          <w:trHeight w:val="579"/>
        </w:trPr>
        <w:tc>
          <w:tcPr>
            <w:tcW w:w="1956" w:type="dxa"/>
            <w:vMerge/>
            <w:tcBorders>
              <w:top w:val="nil"/>
            </w:tcBorders>
          </w:tcPr>
          <w:p w:rsidR="007C464E" w:rsidRDefault="007C464E">
            <w:pPr>
              <w:rPr>
                <w:sz w:val="2"/>
                <w:szCs w:val="2"/>
              </w:rPr>
            </w:pPr>
          </w:p>
        </w:tc>
        <w:tc>
          <w:tcPr>
            <w:tcW w:w="1460" w:type="dxa"/>
          </w:tcPr>
          <w:p w:rsidR="007C464E" w:rsidRDefault="006B4C16">
            <w:pPr>
              <w:pStyle w:val="TableParagraph"/>
              <w:spacing w:before="176"/>
              <w:rPr>
                <w:sz w:val="24"/>
              </w:rPr>
            </w:pPr>
            <w:r>
              <w:rPr>
                <w:spacing w:val="-5"/>
                <w:sz w:val="24"/>
              </w:rPr>
              <w:t>No</w:t>
            </w:r>
          </w:p>
        </w:tc>
        <w:tc>
          <w:tcPr>
            <w:tcW w:w="2246" w:type="dxa"/>
          </w:tcPr>
          <w:p w:rsidR="007C464E" w:rsidRDefault="006B4C16">
            <w:pPr>
              <w:pStyle w:val="TableParagraph"/>
              <w:spacing w:before="31"/>
              <w:ind w:left="25" w:right="20"/>
              <w:rPr>
                <w:sz w:val="24"/>
              </w:rPr>
            </w:pPr>
            <w:r>
              <w:rPr>
                <w:spacing w:val="-2"/>
                <w:sz w:val="24"/>
              </w:rPr>
              <w:t>99(46.9%)</w:t>
            </w:r>
          </w:p>
        </w:tc>
        <w:tc>
          <w:tcPr>
            <w:tcW w:w="1946" w:type="dxa"/>
          </w:tcPr>
          <w:p w:rsidR="007C464E" w:rsidRDefault="006B4C16">
            <w:pPr>
              <w:pStyle w:val="TableParagraph"/>
              <w:spacing w:before="31"/>
              <w:ind w:left="12" w:right="7"/>
              <w:rPr>
                <w:sz w:val="24"/>
              </w:rPr>
            </w:pPr>
            <w:r>
              <w:rPr>
                <w:spacing w:val="-2"/>
                <w:sz w:val="24"/>
              </w:rPr>
              <w:t>5(31.0%)</w:t>
            </w:r>
          </w:p>
        </w:tc>
        <w:tc>
          <w:tcPr>
            <w:tcW w:w="1976" w:type="dxa"/>
            <w:vMerge/>
            <w:tcBorders>
              <w:top w:val="nil"/>
            </w:tcBorders>
          </w:tcPr>
          <w:p w:rsidR="007C464E" w:rsidRDefault="007C464E">
            <w:pPr>
              <w:rPr>
                <w:sz w:val="2"/>
                <w:szCs w:val="2"/>
              </w:rPr>
            </w:pPr>
          </w:p>
        </w:tc>
      </w:tr>
      <w:tr w:rsidR="007C464E">
        <w:trPr>
          <w:trHeight w:val="620"/>
        </w:trPr>
        <w:tc>
          <w:tcPr>
            <w:tcW w:w="3416" w:type="dxa"/>
            <w:gridSpan w:val="2"/>
          </w:tcPr>
          <w:p w:rsidR="007C464E" w:rsidRDefault="006B4C16">
            <w:pPr>
              <w:pStyle w:val="TableParagraph"/>
              <w:spacing w:before="196"/>
              <w:ind w:left="505"/>
              <w:jc w:val="left"/>
              <w:rPr>
                <w:sz w:val="24"/>
              </w:rPr>
            </w:pPr>
            <w:r>
              <w:rPr>
                <w:sz w:val="24"/>
              </w:rPr>
              <w:t>Duration</w:t>
            </w:r>
            <w:r w:rsidR="00B34FB4">
              <w:rPr>
                <w:sz w:val="24"/>
              </w:rPr>
              <w:t xml:space="preserve"> </w:t>
            </w:r>
            <w:r>
              <w:rPr>
                <w:sz w:val="24"/>
              </w:rPr>
              <w:t>of</w:t>
            </w:r>
            <w:r w:rsidR="00B34FB4">
              <w:rPr>
                <w:sz w:val="24"/>
              </w:rPr>
              <w:t xml:space="preserve"> </w:t>
            </w:r>
            <w:r>
              <w:rPr>
                <w:sz w:val="24"/>
              </w:rPr>
              <w:t>Pain</w:t>
            </w:r>
            <w:r>
              <w:rPr>
                <w:spacing w:val="-2"/>
                <w:sz w:val="24"/>
              </w:rPr>
              <w:t xml:space="preserve"> (Hours)</w:t>
            </w:r>
          </w:p>
        </w:tc>
        <w:tc>
          <w:tcPr>
            <w:tcW w:w="2246" w:type="dxa"/>
          </w:tcPr>
          <w:p w:rsidR="007C464E" w:rsidRDefault="006B4C16">
            <w:pPr>
              <w:pStyle w:val="TableParagraph"/>
              <w:spacing w:before="196"/>
              <w:ind w:left="696"/>
              <w:jc w:val="left"/>
              <w:rPr>
                <w:sz w:val="24"/>
              </w:rPr>
            </w:pPr>
            <w:r>
              <w:rPr>
                <w:sz w:val="24"/>
              </w:rPr>
              <w:t>2.7 ±</w:t>
            </w:r>
            <w:r>
              <w:rPr>
                <w:spacing w:val="-5"/>
                <w:sz w:val="24"/>
              </w:rPr>
              <w:t>1.5</w:t>
            </w:r>
          </w:p>
        </w:tc>
        <w:tc>
          <w:tcPr>
            <w:tcW w:w="1946" w:type="dxa"/>
          </w:tcPr>
          <w:p w:rsidR="007C464E" w:rsidRDefault="006B4C16">
            <w:pPr>
              <w:pStyle w:val="TableParagraph"/>
              <w:spacing w:before="196"/>
              <w:ind w:left="545"/>
              <w:jc w:val="left"/>
              <w:rPr>
                <w:sz w:val="24"/>
              </w:rPr>
            </w:pPr>
            <w:r>
              <w:rPr>
                <w:sz w:val="24"/>
              </w:rPr>
              <w:t>3.1 ±</w:t>
            </w:r>
            <w:r>
              <w:rPr>
                <w:spacing w:val="-5"/>
                <w:sz w:val="24"/>
              </w:rPr>
              <w:t>2.7</w:t>
            </w:r>
          </w:p>
        </w:tc>
        <w:tc>
          <w:tcPr>
            <w:tcW w:w="1976" w:type="dxa"/>
          </w:tcPr>
          <w:p w:rsidR="007C464E" w:rsidRDefault="006B4C16">
            <w:pPr>
              <w:pStyle w:val="TableParagraph"/>
              <w:ind w:left="64" w:right="59"/>
              <w:rPr>
                <w:sz w:val="24"/>
              </w:rPr>
            </w:pPr>
            <w:r>
              <w:rPr>
                <w:spacing w:val="-2"/>
                <w:sz w:val="24"/>
              </w:rPr>
              <w:t>0.001</w:t>
            </w:r>
          </w:p>
        </w:tc>
      </w:tr>
    </w:tbl>
    <w:p w:rsidR="007C464E" w:rsidRDefault="007C464E">
      <w:pPr>
        <w:pStyle w:val="TableParagraph"/>
        <w:rPr>
          <w:sz w:val="24"/>
        </w:rPr>
        <w:sectPr w:rsidR="007C464E">
          <w:pgSz w:w="12240" w:h="15840"/>
          <w:pgMar w:top="760" w:right="1080" w:bottom="682" w:left="1080" w:header="720" w:footer="720" w:gutter="0"/>
          <w:cols w:space="720"/>
        </w:sect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7"/>
        <w:gridCol w:w="2247"/>
        <w:gridCol w:w="1947"/>
        <w:gridCol w:w="1977"/>
      </w:tblGrid>
      <w:tr w:rsidR="007C464E">
        <w:trPr>
          <w:trHeight w:val="615"/>
        </w:trPr>
        <w:tc>
          <w:tcPr>
            <w:tcW w:w="3417" w:type="dxa"/>
          </w:tcPr>
          <w:p w:rsidR="007C464E" w:rsidRDefault="006B4C16">
            <w:pPr>
              <w:pStyle w:val="TableParagraph"/>
              <w:spacing w:before="31"/>
              <w:ind w:left="1465" w:right="156" w:hanging="1306"/>
              <w:jc w:val="left"/>
              <w:rPr>
                <w:sz w:val="24"/>
              </w:rPr>
            </w:pPr>
            <w:r>
              <w:rPr>
                <w:sz w:val="24"/>
              </w:rPr>
              <w:lastRenderedPageBreak/>
              <w:t>Atrial</w:t>
            </w:r>
            <w:r w:rsidR="00B34FB4">
              <w:rPr>
                <w:sz w:val="24"/>
              </w:rPr>
              <w:t xml:space="preserve"> </w:t>
            </w:r>
            <w:r>
              <w:rPr>
                <w:sz w:val="24"/>
              </w:rPr>
              <w:t>Fibrillation</w:t>
            </w:r>
            <w:r w:rsidR="00B34FB4">
              <w:rPr>
                <w:sz w:val="24"/>
              </w:rPr>
              <w:t xml:space="preserve"> </w:t>
            </w:r>
            <w:r>
              <w:rPr>
                <w:sz w:val="24"/>
              </w:rPr>
              <w:t>at</w:t>
            </w:r>
            <w:r w:rsidR="00B34FB4">
              <w:rPr>
                <w:sz w:val="24"/>
              </w:rPr>
              <w:t xml:space="preserve"> </w:t>
            </w:r>
            <w:r>
              <w:rPr>
                <w:sz w:val="24"/>
              </w:rPr>
              <w:t xml:space="preserve">Admission, </w:t>
            </w:r>
            <w:proofErr w:type="gramStart"/>
            <w:r>
              <w:rPr>
                <w:spacing w:val="-4"/>
                <w:sz w:val="24"/>
              </w:rPr>
              <w:t>n(</w:t>
            </w:r>
            <w:proofErr w:type="gramEnd"/>
            <w:r>
              <w:rPr>
                <w:spacing w:val="-4"/>
                <w:sz w:val="24"/>
              </w:rPr>
              <w:t>%)</w:t>
            </w:r>
          </w:p>
        </w:tc>
        <w:tc>
          <w:tcPr>
            <w:tcW w:w="2247" w:type="dxa"/>
          </w:tcPr>
          <w:p w:rsidR="007C464E" w:rsidRDefault="006B4C16">
            <w:pPr>
              <w:pStyle w:val="TableParagraph"/>
              <w:spacing w:before="191"/>
              <w:ind w:left="2" w:right="1"/>
              <w:rPr>
                <w:sz w:val="24"/>
              </w:rPr>
            </w:pPr>
            <w:r>
              <w:rPr>
                <w:spacing w:val="-2"/>
                <w:sz w:val="24"/>
              </w:rPr>
              <w:t>22(25.3%)</w:t>
            </w:r>
          </w:p>
        </w:tc>
        <w:tc>
          <w:tcPr>
            <w:tcW w:w="1947" w:type="dxa"/>
          </w:tcPr>
          <w:p w:rsidR="007C464E" w:rsidRDefault="006B4C16">
            <w:pPr>
              <w:pStyle w:val="TableParagraph"/>
              <w:spacing w:before="191"/>
              <w:ind w:left="0"/>
              <w:rPr>
                <w:sz w:val="24"/>
              </w:rPr>
            </w:pPr>
            <w:r>
              <w:rPr>
                <w:spacing w:val="-2"/>
                <w:sz w:val="24"/>
              </w:rPr>
              <w:t>9(14.3%)</w:t>
            </w:r>
          </w:p>
        </w:tc>
        <w:tc>
          <w:tcPr>
            <w:tcW w:w="1977" w:type="dxa"/>
          </w:tcPr>
          <w:p w:rsidR="007C464E" w:rsidRDefault="006B4C16">
            <w:pPr>
              <w:pStyle w:val="TableParagraph"/>
              <w:spacing w:before="31"/>
              <w:ind w:left="0" w:right="1"/>
              <w:rPr>
                <w:sz w:val="24"/>
              </w:rPr>
            </w:pPr>
            <w:r>
              <w:rPr>
                <w:spacing w:val="-2"/>
                <w:sz w:val="24"/>
              </w:rPr>
              <w:t>0.003</w:t>
            </w:r>
          </w:p>
        </w:tc>
      </w:tr>
      <w:tr w:rsidR="007C464E">
        <w:trPr>
          <w:trHeight w:val="610"/>
        </w:trPr>
        <w:tc>
          <w:tcPr>
            <w:tcW w:w="3417" w:type="dxa"/>
          </w:tcPr>
          <w:p w:rsidR="007C464E" w:rsidRDefault="006B4C16">
            <w:pPr>
              <w:pStyle w:val="TableParagraph"/>
              <w:spacing w:before="31"/>
              <w:ind w:left="885" w:hanging="280"/>
              <w:jc w:val="left"/>
              <w:rPr>
                <w:sz w:val="24"/>
              </w:rPr>
            </w:pPr>
            <w:r>
              <w:rPr>
                <w:sz w:val="24"/>
              </w:rPr>
              <w:t>Complete</w:t>
            </w:r>
            <w:r w:rsidR="00B34FB4">
              <w:rPr>
                <w:sz w:val="24"/>
              </w:rPr>
              <w:t xml:space="preserve"> </w:t>
            </w:r>
            <w:r>
              <w:rPr>
                <w:sz w:val="24"/>
              </w:rPr>
              <w:t>AV</w:t>
            </w:r>
            <w:r w:rsidR="00B34FB4">
              <w:rPr>
                <w:sz w:val="24"/>
              </w:rPr>
              <w:t xml:space="preserve"> </w:t>
            </w:r>
            <w:r>
              <w:rPr>
                <w:sz w:val="24"/>
              </w:rPr>
              <w:t>Block</w:t>
            </w:r>
            <w:r w:rsidR="00B34FB4">
              <w:rPr>
                <w:sz w:val="24"/>
              </w:rPr>
              <w:t xml:space="preserve"> </w:t>
            </w:r>
            <w:r>
              <w:rPr>
                <w:sz w:val="24"/>
              </w:rPr>
              <w:t xml:space="preserve">at Admission, </w:t>
            </w:r>
            <w:proofErr w:type="gramStart"/>
            <w:r>
              <w:rPr>
                <w:sz w:val="24"/>
              </w:rPr>
              <w:t>n(</w:t>
            </w:r>
            <w:proofErr w:type="gramEnd"/>
            <w:r>
              <w:rPr>
                <w:sz w:val="24"/>
              </w:rPr>
              <w:t>%)</w:t>
            </w:r>
          </w:p>
        </w:tc>
        <w:tc>
          <w:tcPr>
            <w:tcW w:w="2247" w:type="dxa"/>
          </w:tcPr>
          <w:p w:rsidR="007C464E" w:rsidRDefault="006B4C16">
            <w:pPr>
              <w:pStyle w:val="TableParagraph"/>
              <w:spacing w:before="191"/>
              <w:ind w:left="2"/>
              <w:rPr>
                <w:sz w:val="24"/>
              </w:rPr>
            </w:pPr>
            <w:r>
              <w:rPr>
                <w:spacing w:val="-2"/>
                <w:sz w:val="24"/>
              </w:rPr>
              <w:t>7(8.05%)</w:t>
            </w:r>
          </w:p>
        </w:tc>
        <w:tc>
          <w:tcPr>
            <w:tcW w:w="1947" w:type="dxa"/>
          </w:tcPr>
          <w:p w:rsidR="007C464E" w:rsidRDefault="006B4C16">
            <w:pPr>
              <w:pStyle w:val="TableParagraph"/>
              <w:spacing w:before="191"/>
              <w:ind w:left="0"/>
              <w:rPr>
                <w:sz w:val="24"/>
              </w:rPr>
            </w:pPr>
            <w:r>
              <w:rPr>
                <w:spacing w:val="-2"/>
                <w:sz w:val="24"/>
              </w:rPr>
              <w:t>11(17.5%)</w:t>
            </w:r>
          </w:p>
        </w:tc>
        <w:tc>
          <w:tcPr>
            <w:tcW w:w="1977" w:type="dxa"/>
          </w:tcPr>
          <w:p w:rsidR="007C464E" w:rsidRDefault="006B4C16">
            <w:pPr>
              <w:pStyle w:val="TableParagraph"/>
              <w:spacing w:before="31"/>
              <w:ind w:left="0" w:right="1"/>
              <w:rPr>
                <w:sz w:val="24"/>
              </w:rPr>
            </w:pPr>
            <w:r>
              <w:rPr>
                <w:spacing w:val="-2"/>
                <w:sz w:val="24"/>
              </w:rPr>
              <w:t>0.002</w:t>
            </w:r>
          </w:p>
        </w:tc>
      </w:tr>
      <w:tr w:rsidR="007C464E">
        <w:trPr>
          <w:trHeight w:val="575"/>
        </w:trPr>
        <w:tc>
          <w:tcPr>
            <w:tcW w:w="3417" w:type="dxa"/>
          </w:tcPr>
          <w:p w:rsidR="007C464E" w:rsidRDefault="006B4C16">
            <w:pPr>
              <w:pStyle w:val="TableParagraph"/>
              <w:spacing w:before="176"/>
              <w:ind w:left="620"/>
              <w:jc w:val="left"/>
              <w:rPr>
                <w:sz w:val="24"/>
              </w:rPr>
            </w:pPr>
            <w:r>
              <w:rPr>
                <w:sz w:val="24"/>
              </w:rPr>
              <w:t>HF</w:t>
            </w:r>
            <w:r w:rsidR="00B34FB4">
              <w:rPr>
                <w:sz w:val="24"/>
              </w:rPr>
              <w:t xml:space="preserve"> </w:t>
            </w:r>
            <w:r>
              <w:rPr>
                <w:sz w:val="24"/>
              </w:rPr>
              <w:t>at</w:t>
            </w:r>
            <w:r w:rsidR="00B34FB4">
              <w:rPr>
                <w:sz w:val="24"/>
              </w:rPr>
              <w:t xml:space="preserve"> </w:t>
            </w:r>
            <w:r>
              <w:rPr>
                <w:sz w:val="24"/>
              </w:rPr>
              <w:t xml:space="preserve">admission, </w:t>
            </w:r>
            <w:proofErr w:type="gramStart"/>
            <w:r>
              <w:rPr>
                <w:spacing w:val="-4"/>
                <w:sz w:val="24"/>
              </w:rPr>
              <w:t>n(</w:t>
            </w:r>
            <w:proofErr w:type="gramEnd"/>
            <w:r>
              <w:rPr>
                <w:spacing w:val="-4"/>
                <w:sz w:val="24"/>
              </w:rPr>
              <w:t>%)</w:t>
            </w:r>
          </w:p>
        </w:tc>
        <w:tc>
          <w:tcPr>
            <w:tcW w:w="2247" w:type="dxa"/>
          </w:tcPr>
          <w:p w:rsidR="007C464E" w:rsidRDefault="006B4C16">
            <w:pPr>
              <w:pStyle w:val="TableParagraph"/>
              <w:spacing w:before="176"/>
              <w:ind w:left="2" w:right="1"/>
              <w:rPr>
                <w:sz w:val="24"/>
              </w:rPr>
            </w:pPr>
            <w:r>
              <w:rPr>
                <w:spacing w:val="-2"/>
                <w:sz w:val="24"/>
              </w:rPr>
              <w:t>13(15.0%)</w:t>
            </w:r>
          </w:p>
        </w:tc>
        <w:tc>
          <w:tcPr>
            <w:tcW w:w="1947" w:type="dxa"/>
          </w:tcPr>
          <w:p w:rsidR="007C464E" w:rsidRDefault="006B4C16">
            <w:pPr>
              <w:pStyle w:val="TableParagraph"/>
              <w:spacing w:before="176"/>
              <w:ind w:left="0"/>
              <w:rPr>
                <w:sz w:val="24"/>
              </w:rPr>
            </w:pPr>
            <w:r>
              <w:rPr>
                <w:spacing w:val="-2"/>
                <w:sz w:val="24"/>
              </w:rPr>
              <w:t>8(12.7%)</w:t>
            </w:r>
          </w:p>
        </w:tc>
        <w:tc>
          <w:tcPr>
            <w:tcW w:w="1977" w:type="dxa"/>
          </w:tcPr>
          <w:p w:rsidR="007C464E" w:rsidRDefault="006B4C16">
            <w:pPr>
              <w:pStyle w:val="TableParagraph"/>
              <w:spacing w:before="31"/>
              <w:ind w:left="0" w:right="1"/>
              <w:rPr>
                <w:sz w:val="24"/>
              </w:rPr>
            </w:pPr>
            <w:r>
              <w:rPr>
                <w:spacing w:val="-2"/>
                <w:sz w:val="24"/>
              </w:rPr>
              <w:t>0.001</w:t>
            </w:r>
          </w:p>
        </w:tc>
      </w:tr>
    </w:tbl>
    <w:p w:rsidR="007C464E" w:rsidRDefault="006B4C16">
      <w:pPr>
        <w:pStyle w:val="BodyText"/>
        <w:spacing w:before="252" w:line="480" w:lineRule="auto"/>
        <w:ind w:right="348"/>
        <w:jc w:val="both"/>
      </w:pPr>
      <w:r>
        <w:t>Comparative analysis revealed several significant factors associated with TIMI- 3 and slow/no- reflow phenomenon. Patients in this group were significantly older (56.1± 9.2years vs. 56.9 ± 10.6 years, p=0.466) and had a higher proportion of males (69.0% vs. 76.0%, p=0.445). Critically, the slow/no-reflow group exhibited a substantially greater prevalence of</w:t>
      </w:r>
      <w:r w:rsidR="00B34FB4">
        <w:t xml:space="preserve"> </w:t>
      </w:r>
      <w:r>
        <w:t>comorbidities, including hypertension 97(46.0%) vs. 6(37.5%), p=0.698, diabetes mellitus (45.5% vs. 50.0%, p=0.925), and smoking (53.1% vs. 69.0%, p=0.342). Furthermore, they experienced a</w:t>
      </w:r>
      <w:r w:rsidR="00B34FB4">
        <w:t xml:space="preserve"> </w:t>
      </w:r>
      <w:r>
        <w:t>longer</w:t>
      </w:r>
      <w:r w:rsidR="00B34FB4">
        <w:t xml:space="preserve"> </w:t>
      </w:r>
      <w:r>
        <w:t>delay</w:t>
      </w:r>
      <w:r w:rsidR="00B34FB4">
        <w:t xml:space="preserve"> </w:t>
      </w:r>
      <w:r>
        <w:t>before</w:t>
      </w:r>
      <w:r w:rsidR="00B34FB4">
        <w:t xml:space="preserve"> </w:t>
      </w:r>
      <w:r>
        <w:t>treatment,</w:t>
      </w:r>
      <w:r w:rsidR="00B34FB4">
        <w:t xml:space="preserve"> </w:t>
      </w:r>
      <w:r>
        <w:t>with</w:t>
      </w:r>
      <w:r w:rsidR="00B34FB4">
        <w:t xml:space="preserve"> </w:t>
      </w:r>
      <w:r>
        <w:t>a</w:t>
      </w:r>
      <w:r w:rsidR="00B34FB4">
        <w:t xml:space="preserve"> </w:t>
      </w:r>
      <w:r>
        <w:t>pain</w:t>
      </w:r>
      <w:r w:rsidR="00B34FB4">
        <w:t xml:space="preserve"> </w:t>
      </w:r>
      <w:r>
        <w:t>duration</w:t>
      </w:r>
      <w:r w:rsidR="00B34FB4">
        <w:t xml:space="preserve"> </w:t>
      </w:r>
      <w:r>
        <w:t>of</w:t>
      </w:r>
      <w:r w:rsidR="00B34FB4">
        <w:t xml:space="preserve"> </w:t>
      </w:r>
      <w:r>
        <w:t>3.1±2.7</w:t>
      </w:r>
      <w:r w:rsidR="00B34FB4">
        <w:t xml:space="preserve"> </w:t>
      </w:r>
      <w:r>
        <w:t>hours</w:t>
      </w:r>
      <w:r w:rsidR="00B34FB4">
        <w:t xml:space="preserve"> </w:t>
      </w:r>
      <w:r>
        <w:t>compared</w:t>
      </w:r>
      <w:r w:rsidR="00B34FB4">
        <w:t xml:space="preserve"> </w:t>
      </w:r>
      <w:r>
        <w:rPr>
          <w:spacing w:val="-5"/>
        </w:rPr>
        <w:t>to</w:t>
      </w:r>
    </w:p>
    <w:p w:rsidR="007C464E" w:rsidRDefault="008F4B65">
      <w:pPr>
        <w:pStyle w:val="BodyText"/>
        <w:spacing w:before="2" w:line="480" w:lineRule="auto"/>
        <w:ind w:right="361"/>
        <w:jc w:val="both"/>
        <w:rPr>
          <w:b/>
        </w:rPr>
      </w:pPr>
      <w:r>
        <w:t xml:space="preserve">2.7±1.5hours </w:t>
      </w:r>
      <w:r w:rsidR="006B4C16">
        <w:t>(p=0.001).</w:t>
      </w:r>
      <w:r w:rsidR="00B34FB4">
        <w:t xml:space="preserve"> </w:t>
      </w:r>
      <w:r w:rsidR="006B4C16">
        <w:t>In contrast,</w:t>
      </w:r>
      <w:r w:rsidR="00B34FB4">
        <w:t xml:space="preserve"> </w:t>
      </w:r>
      <w:r w:rsidR="006B4C16">
        <w:t>factors</w:t>
      </w:r>
      <w:r w:rsidR="00B34FB4">
        <w:t xml:space="preserve"> </w:t>
      </w:r>
      <w:r w:rsidR="006B4C16">
        <w:t>such</w:t>
      </w:r>
      <w:r w:rsidR="00B34FB4">
        <w:t xml:space="preserve"> </w:t>
      </w:r>
      <w:r w:rsidR="006B4C16">
        <w:t>as</w:t>
      </w:r>
      <w:r w:rsidR="00B34FB4">
        <w:t xml:space="preserve"> </w:t>
      </w:r>
      <w:r w:rsidR="006B4C16">
        <w:t>family</w:t>
      </w:r>
      <w:r w:rsidR="00B34FB4">
        <w:t xml:space="preserve"> </w:t>
      </w:r>
      <w:r w:rsidR="006B4C16">
        <w:t>history of</w:t>
      </w:r>
      <w:r w:rsidR="00B34FB4">
        <w:t xml:space="preserve"> </w:t>
      </w:r>
      <w:r w:rsidR="006B4C16">
        <w:t>IHD, atrial fibrillation, complete AV block, and heart failure at admission showed statistically significant differences, highlighting that specific risk factors and treatment timing are most strongly linked to adverse outcomes.</w:t>
      </w:r>
      <w:r w:rsidR="00B34FB4">
        <w:t xml:space="preserve"> </w:t>
      </w:r>
      <w:r w:rsidR="006B4C16">
        <w:rPr>
          <w:b/>
        </w:rPr>
        <w:t>(Table 1)</w:t>
      </w:r>
    </w:p>
    <w:p w:rsidR="007C464E" w:rsidRDefault="007C464E">
      <w:pPr>
        <w:pStyle w:val="BodyText"/>
        <w:spacing w:before="7"/>
        <w:ind w:left="0"/>
        <w:rPr>
          <w:b/>
        </w:rPr>
      </w:pPr>
    </w:p>
    <w:p w:rsidR="007C464E" w:rsidRDefault="006B4C16">
      <w:pPr>
        <w:pStyle w:val="Heading1"/>
        <w:tabs>
          <w:tab w:val="left" w:pos="1800"/>
        </w:tabs>
        <w:ind w:right="692"/>
      </w:pPr>
      <w:r>
        <w:t>Table. 2:</w:t>
      </w:r>
      <w:r>
        <w:tab/>
        <w:t>Post-procedural</w:t>
      </w:r>
      <w:r w:rsidR="00B34FB4">
        <w:t xml:space="preserve"> </w:t>
      </w:r>
      <w:r>
        <w:t>TIMI/</w:t>
      </w:r>
      <w:r w:rsidR="00B34FB4">
        <w:t xml:space="preserve"> </w:t>
      </w:r>
      <w:r>
        <w:t>Flow</w:t>
      </w:r>
      <w:r w:rsidR="00B34FB4">
        <w:t xml:space="preserve"> </w:t>
      </w:r>
      <w:r>
        <w:t>grade in</w:t>
      </w:r>
      <w:r w:rsidR="00B34FB4">
        <w:t xml:space="preserve"> </w:t>
      </w:r>
      <w:r>
        <w:t>culprit</w:t>
      </w:r>
      <w:r w:rsidR="00B34FB4">
        <w:t xml:space="preserve"> </w:t>
      </w:r>
      <w:r>
        <w:t>vessel,</w:t>
      </w:r>
      <w:r w:rsidR="00B34FB4">
        <w:t xml:space="preserve"> </w:t>
      </w:r>
      <w:r>
        <w:t>stenting</w:t>
      </w:r>
      <w:r w:rsidR="00B34FB4">
        <w:t xml:space="preserve"> </w:t>
      </w:r>
      <w:r>
        <w:t>or</w:t>
      </w:r>
      <w:r w:rsidR="00B34FB4">
        <w:t xml:space="preserve"> </w:t>
      </w:r>
      <w:r>
        <w:t>ballooning, stent length and diameter, pre-procedure flow and laboratory findings.</w:t>
      </w:r>
    </w:p>
    <w:p w:rsidR="007C464E" w:rsidRDefault="007C464E">
      <w:pPr>
        <w:pStyle w:val="BodyText"/>
        <w:spacing w:before="2"/>
        <w:ind w:left="0"/>
        <w:rPr>
          <w:b/>
          <w:sz w:val="17"/>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1265"/>
        <w:gridCol w:w="1876"/>
        <w:gridCol w:w="2066"/>
        <w:gridCol w:w="1731"/>
      </w:tblGrid>
      <w:tr w:rsidR="007C464E">
        <w:trPr>
          <w:trHeight w:val="615"/>
        </w:trPr>
        <w:tc>
          <w:tcPr>
            <w:tcW w:w="3331" w:type="dxa"/>
            <w:gridSpan w:val="2"/>
          </w:tcPr>
          <w:p w:rsidR="007C464E" w:rsidRDefault="006B4C16">
            <w:pPr>
              <w:pStyle w:val="TableParagraph"/>
              <w:spacing w:before="31"/>
              <w:ind w:left="880"/>
              <w:jc w:val="left"/>
              <w:rPr>
                <w:b/>
                <w:sz w:val="24"/>
              </w:rPr>
            </w:pPr>
            <w:r>
              <w:rPr>
                <w:b/>
                <w:spacing w:val="-2"/>
                <w:sz w:val="24"/>
              </w:rPr>
              <w:t>Characteristics</w:t>
            </w:r>
          </w:p>
        </w:tc>
        <w:tc>
          <w:tcPr>
            <w:tcW w:w="1876" w:type="dxa"/>
          </w:tcPr>
          <w:p w:rsidR="007C464E" w:rsidRDefault="006B4C16">
            <w:pPr>
              <w:pStyle w:val="TableParagraph"/>
              <w:spacing w:before="31"/>
              <w:ind w:left="541" w:hanging="80"/>
              <w:jc w:val="left"/>
              <w:rPr>
                <w:b/>
                <w:sz w:val="24"/>
              </w:rPr>
            </w:pPr>
            <w:r>
              <w:rPr>
                <w:b/>
                <w:sz w:val="24"/>
              </w:rPr>
              <w:t xml:space="preserve">TIMI=3 </w:t>
            </w:r>
            <w:r>
              <w:rPr>
                <w:b/>
                <w:spacing w:val="-2"/>
                <w:sz w:val="24"/>
              </w:rPr>
              <w:t>(n=211)</w:t>
            </w:r>
          </w:p>
        </w:tc>
        <w:tc>
          <w:tcPr>
            <w:tcW w:w="2066" w:type="dxa"/>
          </w:tcPr>
          <w:p w:rsidR="007C464E" w:rsidRDefault="006B4C16">
            <w:pPr>
              <w:pStyle w:val="TableParagraph"/>
              <w:spacing w:before="31"/>
              <w:ind w:left="695" w:right="134" w:hanging="550"/>
              <w:jc w:val="left"/>
              <w:rPr>
                <w:b/>
                <w:sz w:val="24"/>
              </w:rPr>
            </w:pPr>
            <w:r>
              <w:rPr>
                <w:b/>
                <w:sz w:val="24"/>
              </w:rPr>
              <w:t xml:space="preserve">Slow/No-Reflow </w:t>
            </w:r>
            <w:r>
              <w:rPr>
                <w:b/>
                <w:spacing w:val="-2"/>
                <w:sz w:val="24"/>
              </w:rPr>
              <w:t>(n=16)</w:t>
            </w:r>
          </w:p>
        </w:tc>
        <w:tc>
          <w:tcPr>
            <w:tcW w:w="1731" w:type="dxa"/>
          </w:tcPr>
          <w:p w:rsidR="007C464E" w:rsidRDefault="006B4C16">
            <w:pPr>
              <w:pStyle w:val="TableParagraph"/>
              <w:spacing w:before="31"/>
              <w:ind w:left="11"/>
              <w:rPr>
                <w:b/>
                <w:sz w:val="24"/>
              </w:rPr>
            </w:pPr>
            <w:r>
              <w:rPr>
                <w:b/>
                <w:sz w:val="24"/>
              </w:rPr>
              <w:t>p-</w:t>
            </w:r>
            <w:r>
              <w:rPr>
                <w:b/>
                <w:spacing w:val="-2"/>
                <w:sz w:val="24"/>
              </w:rPr>
              <w:t>value</w:t>
            </w:r>
          </w:p>
        </w:tc>
      </w:tr>
      <w:tr w:rsidR="007C464E">
        <w:trPr>
          <w:trHeight w:val="379"/>
        </w:trPr>
        <w:tc>
          <w:tcPr>
            <w:tcW w:w="9004" w:type="dxa"/>
            <w:gridSpan w:val="5"/>
          </w:tcPr>
          <w:p w:rsidR="007C464E" w:rsidRDefault="006B4C16">
            <w:pPr>
              <w:pStyle w:val="TableParagraph"/>
              <w:ind w:left="30"/>
              <w:jc w:val="left"/>
              <w:rPr>
                <w:b/>
                <w:sz w:val="24"/>
              </w:rPr>
            </w:pPr>
            <w:r>
              <w:rPr>
                <w:b/>
                <w:sz w:val="24"/>
              </w:rPr>
              <w:t>Culprit</w:t>
            </w:r>
            <w:r>
              <w:rPr>
                <w:b/>
                <w:spacing w:val="-2"/>
                <w:sz w:val="24"/>
              </w:rPr>
              <w:t xml:space="preserve"> Vessel</w:t>
            </w:r>
          </w:p>
        </w:tc>
      </w:tr>
      <w:tr w:rsidR="007C464E">
        <w:trPr>
          <w:trHeight w:val="380"/>
        </w:trPr>
        <w:tc>
          <w:tcPr>
            <w:tcW w:w="3331" w:type="dxa"/>
            <w:gridSpan w:val="2"/>
          </w:tcPr>
          <w:p w:rsidR="007C464E" w:rsidRDefault="006B4C16">
            <w:pPr>
              <w:pStyle w:val="TableParagraph"/>
              <w:ind w:left="4"/>
              <w:rPr>
                <w:sz w:val="24"/>
              </w:rPr>
            </w:pPr>
            <w:r>
              <w:rPr>
                <w:sz w:val="24"/>
              </w:rPr>
              <w:t xml:space="preserve">LAD, </w:t>
            </w:r>
            <w:proofErr w:type="gramStart"/>
            <w:r>
              <w:rPr>
                <w:spacing w:val="-4"/>
                <w:sz w:val="24"/>
              </w:rPr>
              <w:t>n(</w:t>
            </w:r>
            <w:proofErr w:type="gramEnd"/>
            <w:r>
              <w:rPr>
                <w:spacing w:val="-4"/>
                <w:sz w:val="24"/>
              </w:rPr>
              <w:t>%)</w:t>
            </w:r>
          </w:p>
        </w:tc>
        <w:tc>
          <w:tcPr>
            <w:tcW w:w="1876" w:type="dxa"/>
          </w:tcPr>
          <w:p w:rsidR="007C464E" w:rsidRDefault="006B4C16">
            <w:pPr>
              <w:pStyle w:val="TableParagraph"/>
              <w:rPr>
                <w:sz w:val="24"/>
              </w:rPr>
            </w:pPr>
            <w:r>
              <w:rPr>
                <w:spacing w:val="-2"/>
                <w:sz w:val="24"/>
              </w:rPr>
              <w:t>82(38.9%)</w:t>
            </w:r>
          </w:p>
        </w:tc>
        <w:tc>
          <w:tcPr>
            <w:tcW w:w="2066" w:type="dxa"/>
          </w:tcPr>
          <w:p w:rsidR="007C464E" w:rsidRDefault="006B4C16">
            <w:pPr>
              <w:pStyle w:val="TableParagraph"/>
              <w:ind w:left="5"/>
              <w:rPr>
                <w:sz w:val="24"/>
              </w:rPr>
            </w:pPr>
            <w:r>
              <w:rPr>
                <w:spacing w:val="-2"/>
                <w:sz w:val="24"/>
              </w:rPr>
              <w:t>6(37.4%)</w:t>
            </w:r>
          </w:p>
        </w:tc>
        <w:tc>
          <w:tcPr>
            <w:tcW w:w="1731" w:type="dxa"/>
            <w:vMerge w:val="restart"/>
          </w:tcPr>
          <w:p w:rsidR="007C464E" w:rsidRDefault="007C464E">
            <w:pPr>
              <w:pStyle w:val="TableParagraph"/>
              <w:spacing w:before="0"/>
              <w:ind w:left="0"/>
              <w:jc w:val="left"/>
              <w:rPr>
                <w:b/>
                <w:sz w:val="24"/>
              </w:rPr>
            </w:pPr>
          </w:p>
          <w:p w:rsidR="007C464E" w:rsidRDefault="007C464E">
            <w:pPr>
              <w:pStyle w:val="TableParagraph"/>
              <w:spacing w:before="269"/>
              <w:ind w:left="0"/>
              <w:jc w:val="left"/>
              <w:rPr>
                <w:b/>
                <w:sz w:val="24"/>
              </w:rPr>
            </w:pPr>
          </w:p>
          <w:p w:rsidR="007C464E" w:rsidRDefault="006B4C16">
            <w:pPr>
              <w:pStyle w:val="TableParagraph"/>
              <w:spacing w:before="0"/>
              <w:ind w:left="11" w:right="1"/>
              <w:rPr>
                <w:sz w:val="24"/>
              </w:rPr>
            </w:pPr>
            <w:r>
              <w:rPr>
                <w:spacing w:val="-2"/>
                <w:sz w:val="24"/>
              </w:rPr>
              <w:t>0.908</w:t>
            </w:r>
          </w:p>
        </w:tc>
      </w:tr>
      <w:tr w:rsidR="007C464E">
        <w:trPr>
          <w:trHeight w:val="380"/>
        </w:trPr>
        <w:tc>
          <w:tcPr>
            <w:tcW w:w="3331" w:type="dxa"/>
            <w:gridSpan w:val="2"/>
          </w:tcPr>
          <w:p w:rsidR="007C464E" w:rsidRDefault="006B4C16">
            <w:pPr>
              <w:pStyle w:val="TableParagraph"/>
              <w:ind w:left="4"/>
              <w:rPr>
                <w:sz w:val="24"/>
              </w:rPr>
            </w:pPr>
            <w:r>
              <w:rPr>
                <w:sz w:val="24"/>
              </w:rPr>
              <w:t>RCA,</w:t>
            </w:r>
            <w:r w:rsidR="00D566DE">
              <w:rPr>
                <w:sz w:val="24"/>
              </w:rPr>
              <w:t xml:space="preserve"> </w:t>
            </w:r>
            <w:proofErr w:type="gramStart"/>
            <w:r>
              <w:rPr>
                <w:spacing w:val="-4"/>
                <w:sz w:val="24"/>
              </w:rPr>
              <w:t>n(</w:t>
            </w:r>
            <w:proofErr w:type="gramEnd"/>
            <w:r>
              <w:rPr>
                <w:spacing w:val="-4"/>
                <w:sz w:val="24"/>
              </w:rPr>
              <w:t>%)</w:t>
            </w:r>
          </w:p>
        </w:tc>
        <w:tc>
          <w:tcPr>
            <w:tcW w:w="1876" w:type="dxa"/>
          </w:tcPr>
          <w:p w:rsidR="007C464E" w:rsidRDefault="006B4C16">
            <w:pPr>
              <w:pStyle w:val="TableParagraph"/>
              <w:rPr>
                <w:sz w:val="24"/>
              </w:rPr>
            </w:pPr>
            <w:r>
              <w:rPr>
                <w:spacing w:val="-2"/>
                <w:sz w:val="24"/>
              </w:rPr>
              <w:t>79(37.4%)</w:t>
            </w:r>
          </w:p>
        </w:tc>
        <w:tc>
          <w:tcPr>
            <w:tcW w:w="2066" w:type="dxa"/>
          </w:tcPr>
          <w:p w:rsidR="007C464E" w:rsidRDefault="006B4C16">
            <w:pPr>
              <w:pStyle w:val="TableParagraph"/>
              <w:ind w:left="5"/>
              <w:rPr>
                <w:sz w:val="24"/>
              </w:rPr>
            </w:pPr>
            <w:r>
              <w:rPr>
                <w:spacing w:val="-2"/>
                <w:sz w:val="24"/>
              </w:rPr>
              <w:t>5(31.3%)</w:t>
            </w:r>
          </w:p>
        </w:tc>
        <w:tc>
          <w:tcPr>
            <w:tcW w:w="1731" w:type="dxa"/>
            <w:vMerge/>
            <w:tcBorders>
              <w:top w:val="nil"/>
            </w:tcBorders>
          </w:tcPr>
          <w:p w:rsidR="007C464E" w:rsidRDefault="007C464E">
            <w:pPr>
              <w:rPr>
                <w:sz w:val="2"/>
                <w:szCs w:val="2"/>
              </w:rPr>
            </w:pPr>
          </w:p>
        </w:tc>
      </w:tr>
      <w:tr w:rsidR="007C464E">
        <w:trPr>
          <w:trHeight w:val="380"/>
        </w:trPr>
        <w:tc>
          <w:tcPr>
            <w:tcW w:w="3331" w:type="dxa"/>
            <w:gridSpan w:val="2"/>
          </w:tcPr>
          <w:p w:rsidR="007C464E" w:rsidRDefault="006B4C16">
            <w:pPr>
              <w:pStyle w:val="TableParagraph"/>
              <w:ind w:left="4" w:right="4"/>
              <w:rPr>
                <w:sz w:val="24"/>
              </w:rPr>
            </w:pPr>
            <w:r>
              <w:rPr>
                <w:sz w:val="24"/>
              </w:rPr>
              <w:t>LM</w:t>
            </w:r>
            <w:r>
              <w:rPr>
                <w:spacing w:val="-2"/>
                <w:sz w:val="24"/>
              </w:rPr>
              <w:t>,</w:t>
            </w:r>
            <w:r w:rsidR="00D566DE">
              <w:rPr>
                <w:spacing w:val="-2"/>
                <w:sz w:val="24"/>
              </w:rPr>
              <w:t xml:space="preserve"> </w:t>
            </w:r>
            <w:proofErr w:type="gramStart"/>
            <w:r>
              <w:rPr>
                <w:spacing w:val="-2"/>
                <w:sz w:val="24"/>
              </w:rPr>
              <w:t>n(</w:t>
            </w:r>
            <w:proofErr w:type="gramEnd"/>
            <w:r>
              <w:rPr>
                <w:spacing w:val="-2"/>
                <w:sz w:val="24"/>
              </w:rPr>
              <w:t>%)</w:t>
            </w:r>
          </w:p>
        </w:tc>
        <w:tc>
          <w:tcPr>
            <w:tcW w:w="1876" w:type="dxa"/>
          </w:tcPr>
          <w:p w:rsidR="007C464E" w:rsidRDefault="006B4C16">
            <w:pPr>
              <w:pStyle w:val="TableParagraph"/>
              <w:rPr>
                <w:sz w:val="24"/>
              </w:rPr>
            </w:pPr>
            <w:r>
              <w:rPr>
                <w:spacing w:val="-2"/>
                <w:sz w:val="24"/>
              </w:rPr>
              <w:t>32(15.2%)</w:t>
            </w:r>
          </w:p>
        </w:tc>
        <w:tc>
          <w:tcPr>
            <w:tcW w:w="2066" w:type="dxa"/>
          </w:tcPr>
          <w:p w:rsidR="007C464E" w:rsidRDefault="006B4C16">
            <w:pPr>
              <w:pStyle w:val="TableParagraph"/>
              <w:ind w:left="5"/>
              <w:rPr>
                <w:sz w:val="24"/>
              </w:rPr>
            </w:pPr>
            <w:r>
              <w:rPr>
                <w:spacing w:val="-2"/>
                <w:sz w:val="24"/>
              </w:rPr>
              <w:t>3(18.8%)</w:t>
            </w:r>
          </w:p>
        </w:tc>
        <w:tc>
          <w:tcPr>
            <w:tcW w:w="1731" w:type="dxa"/>
            <w:vMerge/>
            <w:tcBorders>
              <w:top w:val="nil"/>
            </w:tcBorders>
          </w:tcPr>
          <w:p w:rsidR="007C464E" w:rsidRDefault="007C464E">
            <w:pPr>
              <w:rPr>
                <w:sz w:val="2"/>
                <w:szCs w:val="2"/>
              </w:rPr>
            </w:pPr>
          </w:p>
        </w:tc>
      </w:tr>
      <w:tr w:rsidR="007C464E">
        <w:trPr>
          <w:trHeight w:val="380"/>
        </w:trPr>
        <w:tc>
          <w:tcPr>
            <w:tcW w:w="3331" w:type="dxa"/>
            <w:gridSpan w:val="2"/>
          </w:tcPr>
          <w:p w:rsidR="007C464E" w:rsidRDefault="006B4C16">
            <w:pPr>
              <w:pStyle w:val="TableParagraph"/>
              <w:ind w:left="4" w:right="4"/>
              <w:rPr>
                <w:sz w:val="24"/>
              </w:rPr>
            </w:pPr>
            <w:r>
              <w:rPr>
                <w:sz w:val="24"/>
              </w:rPr>
              <w:t>LCX,</w:t>
            </w:r>
            <w:r w:rsidR="00D566DE">
              <w:rPr>
                <w:sz w:val="24"/>
              </w:rPr>
              <w:t xml:space="preserve"> </w:t>
            </w:r>
            <w:proofErr w:type="gramStart"/>
            <w:r>
              <w:rPr>
                <w:spacing w:val="-4"/>
                <w:sz w:val="24"/>
              </w:rPr>
              <w:t>n(</w:t>
            </w:r>
            <w:proofErr w:type="gramEnd"/>
            <w:r>
              <w:rPr>
                <w:spacing w:val="-4"/>
                <w:sz w:val="24"/>
              </w:rPr>
              <w:t>%)</w:t>
            </w:r>
          </w:p>
        </w:tc>
        <w:tc>
          <w:tcPr>
            <w:tcW w:w="1876" w:type="dxa"/>
          </w:tcPr>
          <w:p w:rsidR="007C464E" w:rsidRDefault="006B4C16">
            <w:pPr>
              <w:pStyle w:val="TableParagraph"/>
              <w:rPr>
                <w:sz w:val="24"/>
              </w:rPr>
            </w:pPr>
            <w:r>
              <w:rPr>
                <w:spacing w:val="-2"/>
                <w:sz w:val="24"/>
              </w:rPr>
              <w:t>18(8.5%)</w:t>
            </w:r>
          </w:p>
        </w:tc>
        <w:tc>
          <w:tcPr>
            <w:tcW w:w="2066" w:type="dxa"/>
          </w:tcPr>
          <w:p w:rsidR="007C464E" w:rsidRDefault="006B4C16">
            <w:pPr>
              <w:pStyle w:val="TableParagraph"/>
              <w:ind w:left="5"/>
              <w:rPr>
                <w:sz w:val="24"/>
              </w:rPr>
            </w:pPr>
            <w:r>
              <w:rPr>
                <w:spacing w:val="-2"/>
                <w:sz w:val="24"/>
              </w:rPr>
              <w:t>2(12.5%)</w:t>
            </w:r>
          </w:p>
        </w:tc>
        <w:tc>
          <w:tcPr>
            <w:tcW w:w="1731" w:type="dxa"/>
            <w:vMerge/>
            <w:tcBorders>
              <w:top w:val="nil"/>
            </w:tcBorders>
          </w:tcPr>
          <w:p w:rsidR="007C464E" w:rsidRDefault="007C464E">
            <w:pPr>
              <w:rPr>
                <w:sz w:val="2"/>
                <w:szCs w:val="2"/>
              </w:rPr>
            </w:pPr>
          </w:p>
        </w:tc>
      </w:tr>
      <w:tr w:rsidR="007C464E">
        <w:trPr>
          <w:trHeight w:val="380"/>
        </w:trPr>
        <w:tc>
          <w:tcPr>
            <w:tcW w:w="2066" w:type="dxa"/>
            <w:vMerge w:val="restart"/>
          </w:tcPr>
          <w:p w:rsidR="007C464E" w:rsidRDefault="006B4C16">
            <w:pPr>
              <w:pStyle w:val="TableParagraph"/>
              <w:ind w:left="5" w:right="2"/>
              <w:rPr>
                <w:sz w:val="24"/>
              </w:rPr>
            </w:pPr>
            <w:r>
              <w:rPr>
                <w:sz w:val="24"/>
              </w:rPr>
              <w:t>Stent</w:t>
            </w:r>
            <w:r w:rsidR="00D566DE">
              <w:rPr>
                <w:sz w:val="24"/>
              </w:rPr>
              <w:t xml:space="preserve"> </w:t>
            </w:r>
            <w:r>
              <w:rPr>
                <w:spacing w:val="-2"/>
                <w:sz w:val="24"/>
              </w:rPr>
              <w:t>implantation,</w:t>
            </w:r>
          </w:p>
          <w:p w:rsidR="007C464E" w:rsidRDefault="006B4C16">
            <w:pPr>
              <w:pStyle w:val="TableParagraph"/>
              <w:spacing w:before="44"/>
              <w:ind w:left="5"/>
              <w:rPr>
                <w:sz w:val="24"/>
              </w:rPr>
            </w:pPr>
            <w:proofErr w:type="gramStart"/>
            <w:r>
              <w:rPr>
                <w:i/>
                <w:sz w:val="24"/>
              </w:rPr>
              <w:t>n</w:t>
            </w:r>
            <w:proofErr w:type="gramEnd"/>
            <w:r>
              <w:rPr>
                <w:i/>
                <w:sz w:val="24"/>
              </w:rPr>
              <w:t xml:space="preserve"> </w:t>
            </w:r>
            <w:r>
              <w:rPr>
                <w:spacing w:val="-5"/>
                <w:sz w:val="24"/>
              </w:rPr>
              <w:t>(%)</w:t>
            </w:r>
          </w:p>
        </w:tc>
        <w:tc>
          <w:tcPr>
            <w:tcW w:w="1265" w:type="dxa"/>
          </w:tcPr>
          <w:p w:rsidR="007C464E" w:rsidRDefault="006B4C16">
            <w:pPr>
              <w:pStyle w:val="TableParagraph"/>
              <w:ind w:left="1" w:right="2"/>
              <w:rPr>
                <w:sz w:val="24"/>
              </w:rPr>
            </w:pPr>
            <w:r>
              <w:rPr>
                <w:spacing w:val="-5"/>
                <w:sz w:val="24"/>
              </w:rPr>
              <w:t>Yes</w:t>
            </w:r>
          </w:p>
        </w:tc>
        <w:tc>
          <w:tcPr>
            <w:tcW w:w="1876" w:type="dxa"/>
          </w:tcPr>
          <w:p w:rsidR="007C464E" w:rsidRDefault="006B4C16">
            <w:pPr>
              <w:pStyle w:val="TableParagraph"/>
              <w:ind w:right="1"/>
              <w:rPr>
                <w:sz w:val="24"/>
              </w:rPr>
            </w:pPr>
            <w:r>
              <w:rPr>
                <w:spacing w:val="-2"/>
                <w:sz w:val="24"/>
              </w:rPr>
              <w:t>168(79.6%)</w:t>
            </w:r>
          </w:p>
        </w:tc>
        <w:tc>
          <w:tcPr>
            <w:tcW w:w="2066" w:type="dxa"/>
          </w:tcPr>
          <w:p w:rsidR="007C464E" w:rsidRDefault="006B4C16">
            <w:pPr>
              <w:pStyle w:val="TableParagraph"/>
              <w:ind w:left="5"/>
              <w:rPr>
                <w:sz w:val="24"/>
              </w:rPr>
            </w:pPr>
            <w:r>
              <w:rPr>
                <w:spacing w:val="-2"/>
                <w:sz w:val="24"/>
              </w:rPr>
              <w:t>9(56.3%)</w:t>
            </w:r>
          </w:p>
        </w:tc>
        <w:tc>
          <w:tcPr>
            <w:tcW w:w="1731" w:type="dxa"/>
            <w:vMerge w:val="restart"/>
          </w:tcPr>
          <w:p w:rsidR="007C464E" w:rsidRDefault="006B4C16">
            <w:pPr>
              <w:pStyle w:val="TableParagraph"/>
              <w:spacing w:before="246"/>
              <w:ind w:left="11" w:right="1"/>
              <w:rPr>
                <w:sz w:val="24"/>
              </w:rPr>
            </w:pPr>
            <w:r>
              <w:rPr>
                <w:spacing w:val="-2"/>
                <w:sz w:val="24"/>
              </w:rPr>
              <w:t>0.075</w:t>
            </w:r>
          </w:p>
        </w:tc>
      </w:tr>
      <w:tr w:rsidR="007C464E">
        <w:trPr>
          <w:trHeight w:val="380"/>
        </w:trPr>
        <w:tc>
          <w:tcPr>
            <w:tcW w:w="2066" w:type="dxa"/>
            <w:vMerge/>
            <w:tcBorders>
              <w:top w:val="nil"/>
            </w:tcBorders>
          </w:tcPr>
          <w:p w:rsidR="007C464E" w:rsidRDefault="007C464E">
            <w:pPr>
              <w:rPr>
                <w:sz w:val="2"/>
                <w:szCs w:val="2"/>
              </w:rPr>
            </w:pPr>
          </w:p>
        </w:tc>
        <w:tc>
          <w:tcPr>
            <w:tcW w:w="1265" w:type="dxa"/>
          </w:tcPr>
          <w:p w:rsidR="007C464E" w:rsidRDefault="006B4C16">
            <w:pPr>
              <w:pStyle w:val="TableParagraph"/>
              <w:ind w:left="2" w:right="1"/>
              <w:rPr>
                <w:sz w:val="24"/>
              </w:rPr>
            </w:pPr>
            <w:r>
              <w:rPr>
                <w:spacing w:val="-5"/>
                <w:sz w:val="24"/>
              </w:rPr>
              <w:t>No</w:t>
            </w:r>
          </w:p>
        </w:tc>
        <w:tc>
          <w:tcPr>
            <w:tcW w:w="1876" w:type="dxa"/>
          </w:tcPr>
          <w:p w:rsidR="007C464E" w:rsidRDefault="006B4C16">
            <w:pPr>
              <w:pStyle w:val="TableParagraph"/>
              <w:rPr>
                <w:sz w:val="24"/>
              </w:rPr>
            </w:pPr>
            <w:r>
              <w:rPr>
                <w:spacing w:val="-2"/>
                <w:sz w:val="24"/>
              </w:rPr>
              <w:t>43(20.4%)</w:t>
            </w:r>
          </w:p>
        </w:tc>
        <w:tc>
          <w:tcPr>
            <w:tcW w:w="2066" w:type="dxa"/>
          </w:tcPr>
          <w:p w:rsidR="007C464E" w:rsidRDefault="006B4C16">
            <w:pPr>
              <w:pStyle w:val="TableParagraph"/>
              <w:ind w:left="5"/>
              <w:rPr>
                <w:sz w:val="24"/>
              </w:rPr>
            </w:pPr>
            <w:r>
              <w:rPr>
                <w:spacing w:val="-2"/>
                <w:sz w:val="24"/>
              </w:rPr>
              <w:t>7(43.7%)</w:t>
            </w:r>
          </w:p>
        </w:tc>
        <w:tc>
          <w:tcPr>
            <w:tcW w:w="1731" w:type="dxa"/>
            <w:vMerge/>
            <w:tcBorders>
              <w:top w:val="nil"/>
            </w:tcBorders>
          </w:tcPr>
          <w:p w:rsidR="007C464E" w:rsidRDefault="007C464E">
            <w:pPr>
              <w:rPr>
                <w:sz w:val="2"/>
                <w:szCs w:val="2"/>
              </w:rPr>
            </w:pPr>
          </w:p>
        </w:tc>
      </w:tr>
      <w:tr w:rsidR="007C464E">
        <w:trPr>
          <w:trHeight w:val="549"/>
        </w:trPr>
        <w:tc>
          <w:tcPr>
            <w:tcW w:w="3331" w:type="dxa"/>
            <w:gridSpan w:val="2"/>
          </w:tcPr>
          <w:p w:rsidR="007C464E" w:rsidRDefault="006B4C16">
            <w:pPr>
              <w:pStyle w:val="TableParagraph"/>
              <w:spacing w:before="75"/>
              <w:ind w:left="30"/>
              <w:jc w:val="left"/>
              <w:rPr>
                <w:sz w:val="24"/>
              </w:rPr>
            </w:pPr>
            <w:r>
              <w:rPr>
                <w:sz w:val="24"/>
              </w:rPr>
              <w:t>Stent</w:t>
            </w:r>
            <w:r w:rsidR="00D566DE">
              <w:rPr>
                <w:sz w:val="24"/>
              </w:rPr>
              <w:t xml:space="preserve"> </w:t>
            </w:r>
            <w:r>
              <w:rPr>
                <w:sz w:val="24"/>
              </w:rPr>
              <w:t>length</w:t>
            </w:r>
            <w:r w:rsidR="00D566DE">
              <w:rPr>
                <w:sz w:val="24"/>
              </w:rPr>
              <w:t xml:space="preserve"> </w:t>
            </w:r>
            <w:r>
              <w:rPr>
                <w:sz w:val="24"/>
              </w:rPr>
              <w:t>(</w:t>
            </w:r>
            <w:proofErr w:type="spellStart"/>
            <w:r>
              <w:rPr>
                <w:sz w:val="24"/>
              </w:rPr>
              <w:t>mean</w:t>
            </w:r>
            <w:r>
              <w:rPr>
                <w:spacing w:val="-4"/>
                <w:sz w:val="24"/>
              </w:rPr>
              <w:t>±sd</w:t>
            </w:r>
            <w:proofErr w:type="spellEnd"/>
            <w:r>
              <w:rPr>
                <w:spacing w:val="-4"/>
                <w:sz w:val="24"/>
              </w:rPr>
              <w:t>)</w:t>
            </w:r>
          </w:p>
        </w:tc>
        <w:tc>
          <w:tcPr>
            <w:tcW w:w="1876" w:type="dxa"/>
          </w:tcPr>
          <w:p w:rsidR="007C464E" w:rsidRDefault="006B4C16">
            <w:pPr>
              <w:pStyle w:val="TableParagraph"/>
              <w:spacing w:before="160"/>
              <w:rPr>
                <w:sz w:val="24"/>
              </w:rPr>
            </w:pPr>
            <w:r>
              <w:rPr>
                <w:spacing w:val="-2"/>
                <w:sz w:val="24"/>
              </w:rPr>
              <w:t>24±1.0</w:t>
            </w:r>
          </w:p>
        </w:tc>
        <w:tc>
          <w:tcPr>
            <w:tcW w:w="2066" w:type="dxa"/>
          </w:tcPr>
          <w:p w:rsidR="007C464E" w:rsidRDefault="006B4C16">
            <w:pPr>
              <w:pStyle w:val="TableParagraph"/>
              <w:spacing w:before="160"/>
              <w:ind w:left="5"/>
              <w:rPr>
                <w:sz w:val="24"/>
              </w:rPr>
            </w:pPr>
            <w:r>
              <w:rPr>
                <w:spacing w:val="-2"/>
                <w:sz w:val="24"/>
              </w:rPr>
              <w:t>25±2.0</w:t>
            </w:r>
          </w:p>
        </w:tc>
        <w:tc>
          <w:tcPr>
            <w:tcW w:w="1731" w:type="dxa"/>
          </w:tcPr>
          <w:p w:rsidR="007C464E" w:rsidRDefault="006B4C16">
            <w:pPr>
              <w:pStyle w:val="TableParagraph"/>
              <w:spacing w:before="135"/>
              <w:ind w:left="11" w:right="1"/>
              <w:rPr>
                <w:sz w:val="24"/>
              </w:rPr>
            </w:pPr>
            <w:r>
              <w:rPr>
                <w:spacing w:val="-2"/>
                <w:sz w:val="24"/>
              </w:rPr>
              <w:t>0.001</w:t>
            </w:r>
          </w:p>
        </w:tc>
      </w:tr>
      <w:tr w:rsidR="007C464E">
        <w:trPr>
          <w:trHeight w:val="580"/>
        </w:trPr>
        <w:tc>
          <w:tcPr>
            <w:tcW w:w="3331" w:type="dxa"/>
            <w:gridSpan w:val="2"/>
          </w:tcPr>
          <w:p w:rsidR="007C464E" w:rsidRDefault="006B4C16">
            <w:pPr>
              <w:pStyle w:val="TableParagraph"/>
              <w:ind w:left="30"/>
              <w:jc w:val="left"/>
              <w:rPr>
                <w:sz w:val="24"/>
              </w:rPr>
            </w:pPr>
            <w:r>
              <w:rPr>
                <w:sz w:val="24"/>
              </w:rPr>
              <w:t>Stent</w:t>
            </w:r>
            <w:r w:rsidR="00D566DE">
              <w:rPr>
                <w:sz w:val="24"/>
              </w:rPr>
              <w:t xml:space="preserve"> </w:t>
            </w:r>
            <w:r>
              <w:rPr>
                <w:sz w:val="24"/>
              </w:rPr>
              <w:t>diameter</w:t>
            </w:r>
            <w:r w:rsidR="00D566DE">
              <w:rPr>
                <w:sz w:val="24"/>
              </w:rPr>
              <w:t xml:space="preserve"> </w:t>
            </w:r>
            <w:r>
              <w:rPr>
                <w:sz w:val="24"/>
              </w:rPr>
              <w:t>(</w:t>
            </w:r>
            <w:proofErr w:type="spellStart"/>
            <w:r>
              <w:rPr>
                <w:sz w:val="24"/>
              </w:rPr>
              <w:t>mean</w:t>
            </w:r>
            <w:r>
              <w:rPr>
                <w:spacing w:val="-4"/>
                <w:sz w:val="24"/>
              </w:rPr>
              <w:t>±sd</w:t>
            </w:r>
            <w:proofErr w:type="spellEnd"/>
            <w:r>
              <w:rPr>
                <w:spacing w:val="-4"/>
                <w:sz w:val="24"/>
              </w:rPr>
              <w:t>)</w:t>
            </w:r>
          </w:p>
        </w:tc>
        <w:tc>
          <w:tcPr>
            <w:tcW w:w="1876" w:type="dxa"/>
          </w:tcPr>
          <w:p w:rsidR="007C464E" w:rsidRDefault="006B4C16">
            <w:pPr>
              <w:pStyle w:val="TableParagraph"/>
              <w:spacing w:before="31"/>
              <w:rPr>
                <w:sz w:val="24"/>
              </w:rPr>
            </w:pPr>
            <w:r>
              <w:rPr>
                <w:spacing w:val="-2"/>
                <w:sz w:val="24"/>
              </w:rPr>
              <w:t>3.28±1.1</w:t>
            </w:r>
          </w:p>
        </w:tc>
        <w:tc>
          <w:tcPr>
            <w:tcW w:w="2066" w:type="dxa"/>
          </w:tcPr>
          <w:p w:rsidR="007C464E" w:rsidRDefault="006B4C16">
            <w:pPr>
              <w:pStyle w:val="TableParagraph"/>
              <w:spacing w:before="31"/>
              <w:ind w:left="5"/>
              <w:rPr>
                <w:sz w:val="24"/>
              </w:rPr>
            </w:pPr>
            <w:r>
              <w:rPr>
                <w:spacing w:val="-2"/>
                <w:sz w:val="24"/>
              </w:rPr>
              <w:t>3.1±1.4</w:t>
            </w:r>
          </w:p>
        </w:tc>
        <w:tc>
          <w:tcPr>
            <w:tcW w:w="1731" w:type="dxa"/>
          </w:tcPr>
          <w:p w:rsidR="007C464E" w:rsidRDefault="006B4C16">
            <w:pPr>
              <w:pStyle w:val="TableParagraph"/>
              <w:spacing w:before="151"/>
              <w:ind w:left="11" w:right="1"/>
              <w:rPr>
                <w:sz w:val="24"/>
              </w:rPr>
            </w:pPr>
            <w:r>
              <w:rPr>
                <w:spacing w:val="-2"/>
                <w:sz w:val="24"/>
              </w:rPr>
              <w:t>0.039</w:t>
            </w:r>
          </w:p>
        </w:tc>
      </w:tr>
    </w:tbl>
    <w:p w:rsidR="007C464E" w:rsidRDefault="007C464E">
      <w:pPr>
        <w:pStyle w:val="TableParagraph"/>
        <w:rPr>
          <w:sz w:val="24"/>
        </w:rPr>
        <w:sectPr w:rsidR="007C464E">
          <w:type w:val="continuous"/>
          <w:pgSz w:w="12240" w:h="15840"/>
          <w:pgMar w:top="840" w:right="1080" w:bottom="1041" w:left="1080" w:header="720" w:footer="720" w:gutter="0"/>
          <w:cols w:space="720"/>
        </w:sect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6"/>
        <w:gridCol w:w="935"/>
        <w:gridCol w:w="1876"/>
        <w:gridCol w:w="2066"/>
        <w:gridCol w:w="1731"/>
      </w:tblGrid>
      <w:tr w:rsidR="007C464E">
        <w:trPr>
          <w:trHeight w:val="495"/>
        </w:trPr>
        <w:tc>
          <w:tcPr>
            <w:tcW w:w="2396" w:type="dxa"/>
            <w:vMerge w:val="restart"/>
          </w:tcPr>
          <w:p w:rsidR="007C464E" w:rsidRDefault="006B4C16">
            <w:pPr>
              <w:pStyle w:val="TableParagraph"/>
              <w:spacing w:line="278" w:lineRule="auto"/>
              <w:ind w:left="30" w:right="430"/>
              <w:jc w:val="left"/>
              <w:rPr>
                <w:sz w:val="24"/>
              </w:rPr>
            </w:pPr>
            <w:r>
              <w:rPr>
                <w:sz w:val="24"/>
              </w:rPr>
              <w:lastRenderedPageBreak/>
              <w:t>Pre-procedural</w:t>
            </w:r>
            <w:r w:rsidR="00D566DE">
              <w:rPr>
                <w:sz w:val="24"/>
              </w:rPr>
              <w:t xml:space="preserve"> </w:t>
            </w:r>
            <w:r>
              <w:rPr>
                <w:sz w:val="24"/>
              </w:rPr>
              <w:t xml:space="preserve">flow TIMI 0, </w:t>
            </w:r>
            <w:r>
              <w:rPr>
                <w:i/>
                <w:sz w:val="24"/>
              </w:rPr>
              <w:t xml:space="preserve">n </w:t>
            </w:r>
            <w:r>
              <w:rPr>
                <w:sz w:val="24"/>
              </w:rPr>
              <w:t>(%)</w:t>
            </w:r>
          </w:p>
        </w:tc>
        <w:tc>
          <w:tcPr>
            <w:tcW w:w="935" w:type="dxa"/>
          </w:tcPr>
          <w:p w:rsidR="007C464E" w:rsidRDefault="006B4C16">
            <w:pPr>
              <w:pStyle w:val="TableParagraph"/>
              <w:ind w:left="30"/>
              <w:jc w:val="left"/>
              <w:rPr>
                <w:sz w:val="24"/>
              </w:rPr>
            </w:pPr>
            <w:r>
              <w:rPr>
                <w:spacing w:val="-5"/>
                <w:sz w:val="24"/>
              </w:rPr>
              <w:t>Yes</w:t>
            </w:r>
          </w:p>
        </w:tc>
        <w:tc>
          <w:tcPr>
            <w:tcW w:w="1876" w:type="dxa"/>
          </w:tcPr>
          <w:p w:rsidR="007C464E" w:rsidRDefault="006B4C16">
            <w:pPr>
              <w:pStyle w:val="TableParagraph"/>
              <w:spacing w:before="131"/>
              <w:ind w:right="1"/>
              <w:rPr>
                <w:sz w:val="24"/>
              </w:rPr>
            </w:pPr>
            <w:r>
              <w:rPr>
                <w:spacing w:val="-2"/>
                <w:sz w:val="24"/>
              </w:rPr>
              <w:t>151(71.6%)</w:t>
            </w:r>
          </w:p>
        </w:tc>
        <w:tc>
          <w:tcPr>
            <w:tcW w:w="2066" w:type="dxa"/>
          </w:tcPr>
          <w:p w:rsidR="007C464E" w:rsidRDefault="006B4C16">
            <w:pPr>
              <w:pStyle w:val="TableParagraph"/>
              <w:spacing w:before="131"/>
              <w:ind w:left="5"/>
              <w:rPr>
                <w:sz w:val="24"/>
              </w:rPr>
            </w:pPr>
            <w:r>
              <w:rPr>
                <w:spacing w:val="-2"/>
                <w:sz w:val="24"/>
              </w:rPr>
              <w:t>10(62.5%)</w:t>
            </w:r>
          </w:p>
        </w:tc>
        <w:tc>
          <w:tcPr>
            <w:tcW w:w="1731" w:type="dxa"/>
            <w:vMerge w:val="restart"/>
          </w:tcPr>
          <w:p w:rsidR="007C464E" w:rsidRDefault="007C464E">
            <w:pPr>
              <w:pStyle w:val="TableParagraph"/>
              <w:spacing w:before="84"/>
              <w:ind w:left="0"/>
              <w:jc w:val="left"/>
              <w:rPr>
                <w:b/>
                <w:sz w:val="24"/>
              </w:rPr>
            </w:pPr>
          </w:p>
          <w:p w:rsidR="007C464E" w:rsidRDefault="006B4C16">
            <w:pPr>
              <w:pStyle w:val="TableParagraph"/>
              <w:spacing w:before="1"/>
              <w:ind w:left="11" w:right="1"/>
              <w:rPr>
                <w:sz w:val="24"/>
              </w:rPr>
            </w:pPr>
            <w:r>
              <w:rPr>
                <w:spacing w:val="-2"/>
                <w:sz w:val="24"/>
              </w:rPr>
              <w:t>0.610</w:t>
            </w:r>
          </w:p>
        </w:tc>
      </w:tr>
      <w:tr w:rsidR="007C464E">
        <w:trPr>
          <w:trHeight w:val="490"/>
        </w:trPr>
        <w:tc>
          <w:tcPr>
            <w:tcW w:w="2396" w:type="dxa"/>
            <w:vMerge/>
            <w:tcBorders>
              <w:top w:val="nil"/>
            </w:tcBorders>
          </w:tcPr>
          <w:p w:rsidR="007C464E" w:rsidRDefault="007C464E">
            <w:pPr>
              <w:rPr>
                <w:sz w:val="2"/>
                <w:szCs w:val="2"/>
              </w:rPr>
            </w:pPr>
          </w:p>
        </w:tc>
        <w:tc>
          <w:tcPr>
            <w:tcW w:w="935" w:type="dxa"/>
          </w:tcPr>
          <w:p w:rsidR="007C464E" w:rsidRDefault="006B4C16">
            <w:pPr>
              <w:pStyle w:val="TableParagraph"/>
              <w:ind w:left="30"/>
              <w:jc w:val="left"/>
              <w:rPr>
                <w:sz w:val="24"/>
              </w:rPr>
            </w:pPr>
            <w:r>
              <w:rPr>
                <w:spacing w:val="-5"/>
                <w:sz w:val="24"/>
              </w:rPr>
              <w:t>No</w:t>
            </w:r>
          </w:p>
        </w:tc>
        <w:tc>
          <w:tcPr>
            <w:tcW w:w="1876" w:type="dxa"/>
          </w:tcPr>
          <w:p w:rsidR="007C464E" w:rsidRDefault="006B4C16">
            <w:pPr>
              <w:pStyle w:val="TableParagraph"/>
              <w:spacing w:before="131"/>
              <w:ind w:right="1"/>
              <w:rPr>
                <w:sz w:val="24"/>
              </w:rPr>
            </w:pPr>
            <w:r>
              <w:rPr>
                <w:spacing w:val="-2"/>
                <w:sz w:val="24"/>
              </w:rPr>
              <w:t>60(28.4%)</w:t>
            </w:r>
          </w:p>
        </w:tc>
        <w:tc>
          <w:tcPr>
            <w:tcW w:w="2066" w:type="dxa"/>
          </w:tcPr>
          <w:p w:rsidR="007C464E" w:rsidRDefault="006B4C16">
            <w:pPr>
              <w:pStyle w:val="TableParagraph"/>
              <w:spacing w:before="131"/>
              <w:ind w:left="5" w:right="1"/>
              <w:rPr>
                <w:sz w:val="24"/>
              </w:rPr>
            </w:pPr>
            <w:r>
              <w:rPr>
                <w:spacing w:val="-2"/>
                <w:sz w:val="24"/>
              </w:rPr>
              <w:t>6(37.5%)</w:t>
            </w:r>
          </w:p>
        </w:tc>
        <w:tc>
          <w:tcPr>
            <w:tcW w:w="1731" w:type="dxa"/>
            <w:vMerge/>
            <w:tcBorders>
              <w:top w:val="nil"/>
            </w:tcBorders>
          </w:tcPr>
          <w:p w:rsidR="007C464E" w:rsidRDefault="007C464E">
            <w:pPr>
              <w:rPr>
                <w:sz w:val="2"/>
                <w:szCs w:val="2"/>
              </w:rPr>
            </w:pPr>
          </w:p>
        </w:tc>
      </w:tr>
      <w:tr w:rsidR="007C464E">
        <w:trPr>
          <w:trHeight w:val="575"/>
        </w:trPr>
        <w:tc>
          <w:tcPr>
            <w:tcW w:w="3331" w:type="dxa"/>
            <w:gridSpan w:val="2"/>
          </w:tcPr>
          <w:p w:rsidR="007C464E" w:rsidRDefault="006B4C16">
            <w:pPr>
              <w:pStyle w:val="TableParagraph"/>
              <w:ind w:left="30"/>
              <w:jc w:val="left"/>
              <w:rPr>
                <w:sz w:val="24"/>
              </w:rPr>
            </w:pPr>
            <w:r>
              <w:rPr>
                <w:sz w:val="24"/>
              </w:rPr>
              <w:t>CK,</w:t>
            </w:r>
            <w:r w:rsidR="00D566DE">
              <w:rPr>
                <w:sz w:val="24"/>
              </w:rPr>
              <w:t xml:space="preserve"> </w:t>
            </w:r>
            <w:r>
              <w:rPr>
                <w:sz w:val="24"/>
              </w:rPr>
              <w:t>(</w:t>
            </w:r>
            <w:proofErr w:type="spellStart"/>
            <w:r>
              <w:rPr>
                <w:sz w:val="24"/>
              </w:rPr>
              <w:t>mean</w:t>
            </w:r>
            <w:r>
              <w:rPr>
                <w:spacing w:val="-4"/>
                <w:sz w:val="24"/>
              </w:rPr>
              <w:t>±sd</w:t>
            </w:r>
            <w:proofErr w:type="spellEnd"/>
            <w:r>
              <w:rPr>
                <w:spacing w:val="-4"/>
                <w:sz w:val="24"/>
              </w:rPr>
              <w:t>)</w:t>
            </w:r>
          </w:p>
        </w:tc>
        <w:tc>
          <w:tcPr>
            <w:tcW w:w="1876" w:type="dxa"/>
          </w:tcPr>
          <w:p w:rsidR="007C464E" w:rsidRDefault="006B4C16">
            <w:pPr>
              <w:pStyle w:val="TableParagraph"/>
              <w:spacing w:before="31"/>
              <w:ind w:right="1"/>
              <w:rPr>
                <w:sz w:val="24"/>
              </w:rPr>
            </w:pPr>
            <w:r>
              <w:rPr>
                <w:spacing w:val="-2"/>
                <w:sz w:val="24"/>
              </w:rPr>
              <w:t>1936.1±0.3</w:t>
            </w:r>
          </w:p>
        </w:tc>
        <w:tc>
          <w:tcPr>
            <w:tcW w:w="2066" w:type="dxa"/>
          </w:tcPr>
          <w:p w:rsidR="007C464E" w:rsidRDefault="006B4C16">
            <w:pPr>
              <w:pStyle w:val="TableParagraph"/>
              <w:spacing w:before="31"/>
              <w:ind w:left="5"/>
              <w:rPr>
                <w:sz w:val="24"/>
              </w:rPr>
            </w:pPr>
            <w:r>
              <w:rPr>
                <w:spacing w:val="-2"/>
                <w:sz w:val="24"/>
              </w:rPr>
              <w:t>2401.1±1.1</w:t>
            </w:r>
          </w:p>
        </w:tc>
        <w:tc>
          <w:tcPr>
            <w:tcW w:w="1731" w:type="dxa"/>
          </w:tcPr>
          <w:p w:rsidR="007C464E" w:rsidRDefault="006B4C16">
            <w:pPr>
              <w:pStyle w:val="TableParagraph"/>
              <w:spacing w:before="151"/>
              <w:ind w:left="11" w:right="1"/>
              <w:rPr>
                <w:sz w:val="24"/>
              </w:rPr>
            </w:pPr>
            <w:r>
              <w:rPr>
                <w:spacing w:val="-2"/>
                <w:sz w:val="24"/>
              </w:rPr>
              <w:t>0.411</w:t>
            </w:r>
          </w:p>
        </w:tc>
      </w:tr>
      <w:tr w:rsidR="007C464E">
        <w:trPr>
          <w:trHeight w:val="580"/>
        </w:trPr>
        <w:tc>
          <w:tcPr>
            <w:tcW w:w="3331" w:type="dxa"/>
            <w:gridSpan w:val="2"/>
          </w:tcPr>
          <w:p w:rsidR="007C464E" w:rsidRDefault="006B4C16">
            <w:pPr>
              <w:pStyle w:val="TableParagraph"/>
              <w:ind w:left="30"/>
              <w:jc w:val="left"/>
              <w:rPr>
                <w:sz w:val="24"/>
              </w:rPr>
            </w:pPr>
            <w:r>
              <w:rPr>
                <w:sz w:val="24"/>
              </w:rPr>
              <w:t>Troponin</w:t>
            </w:r>
            <w:r w:rsidR="00D566DE">
              <w:rPr>
                <w:sz w:val="24"/>
              </w:rPr>
              <w:t xml:space="preserve"> </w:t>
            </w:r>
            <w:r>
              <w:rPr>
                <w:sz w:val="24"/>
              </w:rPr>
              <w:t>I</w:t>
            </w:r>
            <w:r w:rsidR="00D566DE">
              <w:rPr>
                <w:sz w:val="24"/>
              </w:rPr>
              <w:t xml:space="preserve"> </w:t>
            </w:r>
            <w:r>
              <w:rPr>
                <w:sz w:val="24"/>
              </w:rPr>
              <w:t>(</w:t>
            </w:r>
            <w:r>
              <w:rPr>
                <w:i/>
                <w:sz w:val="24"/>
              </w:rPr>
              <w:t>,</w:t>
            </w:r>
            <w:r>
              <w:rPr>
                <w:sz w:val="24"/>
              </w:rPr>
              <w:t>g/L)(</w:t>
            </w:r>
            <w:proofErr w:type="spellStart"/>
            <w:r>
              <w:rPr>
                <w:sz w:val="24"/>
              </w:rPr>
              <w:t>mean</w:t>
            </w:r>
            <w:r>
              <w:rPr>
                <w:spacing w:val="-4"/>
                <w:sz w:val="24"/>
              </w:rPr>
              <w:t>±sd</w:t>
            </w:r>
            <w:proofErr w:type="spellEnd"/>
            <w:r>
              <w:rPr>
                <w:spacing w:val="-4"/>
                <w:sz w:val="24"/>
              </w:rPr>
              <w:t>)</w:t>
            </w:r>
          </w:p>
        </w:tc>
        <w:tc>
          <w:tcPr>
            <w:tcW w:w="1876" w:type="dxa"/>
          </w:tcPr>
          <w:p w:rsidR="007C464E" w:rsidRDefault="006B4C16">
            <w:pPr>
              <w:pStyle w:val="TableParagraph"/>
              <w:spacing w:before="31"/>
              <w:rPr>
                <w:sz w:val="24"/>
              </w:rPr>
            </w:pPr>
            <w:r>
              <w:rPr>
                <w:spacing w:val="-2"/>
                <w:sz w:val="24"/>
              </w:rPr>
              <w:t>36.7±0.3</w:t>
            </w:r>
          </w:p>
        </w:tc>
        <w:tc>
          <w:tcPr>
            <w:tcW w:w="2066" w:type="dxa"/>
          </w:tcPr>
          <w:p w:rsidR="007C464E" w:rsidRDefault="006B4C16">
            <w:pPr>
              <w:pStyle w:val="TableParagraph"/>
              <w:spacing w:before="31"/>
              <w:ind w:left="5"/>
              <w:rPr>
                <w:sz w:val="24"/>
              </w:rPr>
            </w:pPr>
            <w:r>
              <w:rPr>
                <w:spacing w:val="-2"/>
                <w:sz w:val="24"/>
              </w:rPr>
              <w:t>34.8±1.4</w:t>
            </w:r>
          </w:p>
        </w:tc>
        <w:tc>
          <w:tcPr>
            <w:tcW w:w="1731" w:type="dxa"/>
          </w:tcPr>
          <w:p w:rsidR="007C464E" w:rsidRDefault="006B4C16">
            <w:pPr>
              <w:pStyle w:val="TableParagraph"/>
              <w:spacing w:before="156"/>
              <w:ind w:left="11" w:right="1"/>
              <w:rPr>
                <w:sz w:val="24"/>
              </w:rPr>
            </w:pPr>
            <w:r>
              <w:rPr>
                <w:spacing w:val="-2"/>
                <w:sz w:val="24"/>
              </w:rPr>
              <w:t>0.001</w:t>
            </w:r>
          </w:p>
        </w:tc>
      </w:tr>
      <w:tr w:rsidR="007C464E">
        <w:trPr>
          <w:trHeight w:val="575"/>
        </w:trPr>
        <w:tc>
          <w:tcPr>
            <w:tcW w:w="3331" w:type="dxa"/>
            <w:gridSpan w:val="2"/>
          </w:tcPr>
          <w:p w:rsidR="007C464E" w:rsidRDefault="006B4C16">
            <w:pPr>
              <w:pStyle w:val="TableParagraph"/>
              <w:ind w:left="30"/>
              <w:jc w:val="left"/>
              <w:rPr>
                <w:sz w:val="24"/>
              </w:rPr>
            </w:pPr>
            <w:r>
              <w:rPr>
                <w:sz w:val="24"/>
              </w:rPr>
              <w:t>Hemoglobin</w:t>
            </w:r>
            <w:r w:rsidR="00D566DE">
              <w:rPr>
                <w:sz w:val="24"/>
              </w:rPr>
              <w:t xml:space="preserve"> </w:t>
            </w:r>
            <w:r>
              <w:rPr>
                <w:sz w:val="24"/>
              </w:rPr>
              <w:t>g/L,(</w:t>
            </w:r>
            <w:proofErr w:type="spellStart"/>
            <w:r>
              <w:rPr>
                <w:sz w:val="24"/>
              </w:rPr>
              <w:t>mean</w:t>
            </w:r>
            <w:r>
              <w:rPr>
                <w:spacing w:val="-4"/>
                <w:sz w:val="24"/>
              </w:rPr>
              <w:t>±sd</w:t>
            </w:r>
            <w:proofErr w:type="spellEnd"/>
            <w:r>
              <w:rPr>
                <w:spacing w:val="-4"/>
                <w:sz w:val="24"/>
              </w:rPr>
              <w:t>)</w:t>
            </w:r>
          </w:p>
        </w:tc>
        <w:tc>
          <w:tcPr>
            <w:tcW w:w="1876" w:type="dxa"/>
          </w:tcPr>
          <w:p w:rsidR="007C464E" w:rsidRDefault="006B4C16">
            <w:pPr>
              <w:pStyle w:val="TableParagraph"/>
              <w:spacing w:before="31"/>
              <w:rPr>
                <w:sz w:val="24"/>
              </w:rPr>
            </w:pPr>
            <w:r>
              <w:rPr>
                <w:spacing w:val="-2"/>
                <w:sz w:val="24"/>
              </w:rPr>
              <w:t>13.9±1.8</w:t>
            </w:r>
          </w:p>
        </w:tc>
        <w:tc>
          <w:tcPr>
            <w:tcW w:w="2066" w:type="dxa"/>
          </w:tcPr>
          <w:p w:rsidR="007C464E" w:rsidRDefault="006B4C16">
            <w:pPr>
              <w:pStyle w:val="TableParagraph"/>
              <w:spacing w:before="31"/>
              <w:ind w:left="5"/>
              <w:rPr>
                <w:sz w:val="24"/>
              </w:rPr>
            </w:pPr>
            <w:r>
              <w:rPr>
                <w:spacing w:val="-2"/>
                <w:sz w:val="24"/>
              </w:rPr>
              <w:t>14.5±2.5</w:t>
            </w:r>
          </w:p>
        </w:tc>
        <w:tc>
          <w:tcPr>
            <w:tcW w:w="1731" w:type="dxa"/>
          </w:tcPr>
          <w:p w:rsidR="007C464E" w:rsidRDefault="006B4C16">
            <w:pPr>
              <w:pStyle w:val="TableParagraph"/>
              <w:spacing w:before="151"/>
              <w:ind w:left="11" w:right="1"/>
              <w:rPr>
                <w:sz w:val="24"/>
              </w:rPr>
            </w:pPr>
            <w:r>
              <w:rPr>
                <w:spacing w:val="-2"/>
                <w:sz w:val="24"/>
              </w:rPr>
              <w:t>0.044</w:t>
            </w:r>
          </w:p>
        </w:tc>
      </w:tr>
      <w:tr w:rsidR="007C464E">
        <w:trPr>
          <w:trHeight w:val="700"/>
        </w:trPr>
        <w:tc>
          <w:tcPr>
            <w:tcW w:w="3331" w:type="dxa"/>
            <w:gridSpan w:val="2"/>
          </w:tcPr>
          <w:p w:rsidR="007C464E" w:rsidRDefault="006B4C16">
            <w:pPr>
              <w:pStyle w:val="TableParagraph"/>
              <w:spacing w:before="32" w:line="320" w:lineRule="atLeast"/>
              <w:ind w:left="30"/>
              <w:jc w:val="left"/>
              <w:rPr>
                <w:sz w:val="24"/>
              </w:rPr>
            </w:pPr>
            <w:r>
              <w:rPr>
                <w:sz w:val="24"/>
              </w:rPr>
              <w:t>Creatinine</w:t>
            </w:r>
            <w:r w:rsidR="00D566DE">
              <w:rPr>
                <w:sz w:val="24"/>
              </w:rPr>
              <w:t xml:space="preserve"> </w:t>
            </w:r>
            <w:r>
              <w:rPr>
                <w:sz w:val="24"/>
              </w:rPr>
              <w:t>at</w:t>
            </w:r>
            <w:r w:rsidR="00D566DE">
              <w:rPr>
                <w:sz w:val="24"/>
              </w:rPr>
              <w:t xml:space="preserve"> </w:t>
            </w:r>
            <w:r>
              <w:rPr>
                <w:sz w:val="24"/>
              </w:rPr>
              <w:t>admission,</w:t>
            </w:r>
            <w:r w:rsidR="00D566DE">
              <w:rPr>
                <w:sz w:val="24"/>
              </w:rPr>
              <w:t xml:space="preserve"> </w:t>
            </w:r>
            <w:proofErr w:type="spellStart"/>
            <w:r>
              <w:rPr>
                <w:sz w:val="24"/>
              </w:rPr>
              <w:t>mol</w:t>
            </w:r>
            <w:proofErr w:type="spellEnd"/>
            <w:r>
              <w:rPr>
                <w:sz w:val="24"/>
              </w:rPr>
              <w:t>/L, (mean ±</w:t>
            </w:r>
            <w:proofErr w:type="spellStart"/>
            <w:r>
              <w:rPr>
                <w:sz w:val="24"/>
              </w:rPr>
              <w:t>sd</w:t>
            </w:r>
            <w:proofErr w:type="spellEnd"/>
            <w:r>
              <w:rPr>
                <w:sz w:val="24"/>
              </w:rPr>
              <w:t>)</w:t>
            </w:r>
          </w:p>
        </w:tc>
        <w:tc>
          <w:tcPr>
            <w:tcW w:w="1876" w:type="dxa"/>
          </w:tcPr>
          <w:p w:rsidR="007C464E" w:rsidRDefault="006B4C16">
            <w:pPr>
              <w:pStyle w:val="TableParagraph"/>
              <w:spacing w:before="96"/>
              <w:rPr>
                <w:sz w:val="24"/>
              </w:rPr>
            </w:pPr>
            <w:r>
              <w:rPr>
                <w:spacing w:val="-2"/>
                <w:sz w:val="24"/>
              </w:rPr>
              <w:t>84.5±2.9</w:t>
            </w:r>
          </w:p>
        </w:tc>
        <w:tc>
          <w:tcPr>
            <w:tcW w:w="2066" w:type="dxa"/>
          </w:tcPr>
          <w:p w:rsidR="007C464E" w:rsidRDefault="006B4C16">
            <w:pPr>
              <w:pStyle w:val="TableParagraph"/>
              <w:spacing w:before="96"/>
              <w:ind w:left="5"/>
              <w:rPr>
                <w:sz w:val="24"/>
              </w:rPr>
            </w:pPr>
            <w:r>
              <w:rPr>
                <w:spacing w:val="-2"/>
                <w:sz w:val="24"/>
              </w:rPr>
              <w:t>90.8±0.8</w:t>
            </w:r>
          </w:p>
        </w:tc>
        <w:tc>
          <w:tcPr>
            <w:tcW w:w="1731" w:type="dxa"/>
          </w:tcPr>
          <w:p w:rsidR="007C464E" w:rsidRDefault="006B4C16">
            <w:pPr>
              <w:pStyle w:val="TableParagraph"/>
              <w:spacing w:before="216"/>
              <w:ind w:left="11" w:right="1"/>
              <w:rPr>
                <w:sz w:val="24"/>
              </w:rPr>
            </w:pPr>
            <w:r>
              <w:rPr>
                <w:spacing w:val="-2"/>
                <w:sz w:val="24"/>
              </w:rPr>
              <w:t>0.001</w:t>
            </w:r>
          </w:p>
        </w:tc>
      </w:tr>
    </w:tbl>
    <w:p w:rsidR="00D566DE" w:rsidRDefault="00D566DE">
      <w:pPr>
        <w:pStyle w:val="BodyText"/>
        <w:spacing w:before="12" w:line="480" w:lineRule="auto"/>
        <w:ind w:right="353"/>
        <w:jc w:val="both"/>
      </w:pPr>
    </w:p>
    <w:p w:rsidR="007C464E" w:rsidRPr="00D566DE" w:rsidRDefault="006B4C16">
      <w:pPr>
        <w:pStyle w:val="BodyText"/>
        <w:spacing w:before="12" w:line="480" w:lineRule="auto"/>
        <w:ind w:right="353"/>
        <w:jc w:val="both"/>
        <w:rPr>
          <w:b/>
        </w:rPr>
      </w:pPr>
      <w:r>
        <w:t>The</w:t>
      </w:r>
      <w:r w:rsidR="00D566DE">
        <w:t xml:space="preserve"> </w:t>
      </w:r>
      <w:r>
        <w:t>analysis of</w:t>
      </w:r>
      <w:r w:rsidR="00D566DE">
        <w:t xml:space="preserve"> </w:t>
      </w:r>
      <w:r>
        <w:t>procedural</w:t>
      </w:r>
      <w:r w:rsidR="00D566DE">
        <w:t xml:space="preserve"> </w:t>
      </w:r>
      <w:r>
        <w:t>and</w:t>
      </w:r>
      <w:r w:rsidR="00D566DE">
        <w:t xml:space="preserve"> </w:t>
      </w:r>
      <w:r>
        <w:t>laboratory</w:t>
      </w:r>
      <w:r w:rsidR="00D566DE">
        <w:t xml:space="preserve"> </w:t>
      </w:r>
      <w:r>
        <w:t>factors reveals several</w:t>
      </w:r>
      <w:r w:rsidR="00D566DE">
        <w:t xml:space="preserve"> </w:t>
      </w:r>
      <w:r>
        <w:t>significant</w:t>
      </w:r>
      <w:r w:rsidR="00D566DE">
        <w:t xml:space="preserve"> </w:t>
      </w:r>
      <w:r>
        <w:t>associations with</w:t>
      </w:r>
      <w:r w:rsidR="00D566DE">
        <w:t xml:space="preserve"> </w:t>
      </w:r>
      <w:r>
        <w:t xml:space="preserve">the slow/no-reflow. While the culprit vessel did not have a statistically significant </w:t>
      </w:r>
      <w:r w:rsidR="008F4B65">
        <w:t>difference a p- value</w:t>
      </w:r>
      <w:r w:rsidR="00D566DE">
        <w:t xml:space="preserve"> </w:t>
      </w:r>
      <w:r w:rsidR="008F4B65">
        <w:t xml:space="preserve">0.908. </w:t>
      </w:r>
      <w:r>
        <w:t>Stent size (length and diameter) was</w:t>
      </w:r>
      <w:r w:rsidR="00D566DE">
        <w:t xml:space="preserve"> </w:t>
      </w:r>
      <w:r>
        <w:t>also noted</w:t>
      </w:r>
      <w:r w:rsidR="00D566DE">
        <w:t xml:space="preserve"> </w:t>
      </w:r>
      <w:r>
        <w:t>(24±1.0 mm vs 25±2.0 mm, p=0.001) and (3.28±1.1 mm vs 3.1±1.4 mm, p=0.039). Furthermore, a pre-procedural total blockage (TIMI 0 flow) was more common in the slow/no- reflow group (76.5% vs. 71.6%, p=0.610). Biochemically, this group also had significantly</w:t>
      </w:r>
      <w:r w:rsidR="00D566DE">
        <w:t xml:space="preserve"> </w:t>
      </w:r>
      <w:r>
        <w:t>higher initial creatinine levels (90.8±0.8 µmol/L vs. 84.5±2.9 µmol/L, p=0.001) and hemoglobin (14.5±2.5 g/L vs. 13.9±1.8 g/L, p=0.044), and a notably lower Troponin I level (34.8±1.4 µg/L vs. 36.7±0.3 µg/L, p=0.001).</w:t>
      </w:r>
      <w:r w:rsidR="00D566DE">
        <w:t xml:space="preserve"> </w:t>
      </w:r>
      <w:r w:rsidRPr="00D566DE">
        <w:rPr>
          <w:b/>
        </w:rPr>
        <w:t>(Table 2)</w:t>
      </w:r>
    </w:p>
    <w:p w:rsidR="007C464E" w:rsidRPr="00D566DE" w:rsidRDefault="007C464E">
      <w:pPr>
        <w:pStyle w:val="BodyText"/>
        <w:spacing w:line="480" w:lineRule="auto"/>
        <w:jc w:val="both"/>
        <w:rPr>
          <w:b/>
        </w:rPr>
        <w:sectPr w:rsidR="007C464E" w:rsidRPr="00D566DE">
          <w:type w:val="continuous"/>
          <w:pgSz w:w="12240" w:h="15840"/>
          <w:pgMar w:top="840" w:right="1080" w:bottom="280" w:left="1080" w:header="720" w:footer="720" w:gutter="0"/>
          <w:cols w:space="720"/>
        </w:sectPr>
      </w:pPr>
    </w:p>
    <w:p w:rsidR="007C464E" w:rsidRDefault="006B4C16">
      <w:pPr>
        <w:pStyle w:val="Heading1"/>
        <w:spacing w:before="71"/>
        <w:jc w:val="both"/>
      </w:pPr>
      <w:r>
        <w:lastRenderedPageBreak/>
        <w:t>Table.3:</w:t>
      </w:r>
      <w:r w:rsidR="00D566DE">
        <w:t xml:space="preserve"> </w:t>
      </w:r>
      <w:r>
        <w:t>Kidney</w:t>
      </w:r>
      <w:r w:rsidR="00D566DE">
        <w:t xml:space="preserve"> </w:t>
      </w:r>
      <w:r>
        <w:t>Function</w:t>
      </w:r>
      <w:r w:rsidR="00D566DE">
        <w:t xml:space="preserve"> </w:t>
      </w:r>
      <w:r>
        <w:t>According</w:t>
      </w:r>
      <w:r w:rsidR="00D566DE">
        <w:t xml:space="preserve"> </w:t>
      </w:r>
      <w:r>
        <w:t>to</w:t>
      </w:r>
      <w:r w:rsidR="00D566DE">
        <w:t xml:space="preserve"> </w:t>
      </w:r>
      <w:r>
        <w:t>Post-Procedural</w:t>
      </w:r>
      <w:r w:rsidR="00D566DE">
        <w:t xml:space="preserve"> </w:t>
      </w:r>
      <w:r>
        <w:t>TIMI</w:t>
      </w:r>
      <w:r w:rsidR="00D566DE">
        <w:t xml:space="preserve"> </w:t>
      </w:r>
      <w:r>
        <w:t>Flow</w:t>
      </w:r>
      <w:r w:rsidR="00D566DE">
        <w:t xml:space="preserve"> </w:t>
      </w:r>
      <w:r>
        <w:rPr>
          <w:spacing w:val="-2"/>
        </w:rPr>
        <w:t>Grade.</w:t>
      </w:r>
    </w:p>
    <w:p w:rsidR="007C464E" w:rsidRDefault="007C464E">
      <w:pPr>
        <w:pStyle w:val="BodyText"/>
        <w:spacing w:before="3"/>
        <w:ind w:left="0"/>
        <w:rPr>
          <w:b/>
          <w:sz w:val="17"/>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1"/>
        <w:gridCol w:w="2021"/>
        <w:gridCol w:w="2301"/>
        <w:gridCol w:w="1991"/>
        <w:gridCol w:w="2021"/>
      </w:tblGrid>
      <w:tr w:rsidR="007C464E">
        <w:trPr>
          <w:trHeight w:val="610"/>
        </w:trPr>
        <w:tc>
          <w:tcPr>
            <w:tcW w:w="3322" w:type="dxa"/>
            <w:gridSpan w:val="2"/>
          </w:tcPr>
          <w:p w:rsidR="007C464E" w:rsidRDefault="006B4C16">
            <w:pPr>
              <w:pStyle w:val="TableParagraph"/>
              <w:spacing w:before="31"/>
              <w:ind w:left="880"/>
              <w:jc w:val="left"/>
              <w:rPr>
                <w:b/>
                <w:sz w:val="24"/>
              </w:rPr>
            </w:pPr>
            <w:r>
              <w:rPr>
                <w:b/>
                <w:spacing w:val="-2"/>
                <w:sz w:val="24"/>
              </w:rPr>
              <w:t>Characteristics</w:t>
            </w:r>
          </w:p>
        </w:tc>
        <w:tc>
          <w:tcPr>
            <w:tcW w:w="2301" w:type="dxa"/>
          </w:tcPr>
          <w:p w:rsidR="007C464E" w:rsidRDefault="006B4C16">
            <w:pPr>
              <w:pStyle w:val="TableParagraph"/>
              <w:spacing w:before="31"/>
              <w:ind w:left="739" w:hanging="105"/>
              <w:jc w:val="left"/>
              <w:rPr>
                <w:b/>
                <w:sz w:val="24"/>
              </w:rPr>
            </w:pPr>
            <w:r>
              <w:rPr>
                <w:b/>
                <w:sz w:val="24"/>
              </w:rPr>
              <w:t xml:space="preserve">TIMI-III </w:t>
            </w:r>
            <w:r>
              <w:rPr>
                <w:b/>
                <w:spacing w:val="-2"/>
                <w:sz w:val="24"/>
              </w:rPr>
              <w:t>(n=211)</w:t>
            </w:r>
          </w:p>
        </w:tc>
        <w:tc>
          <w:tcPr>
            <w:tcW w:w="1991" w:type="dxa"/>
          </w:tcPr>
          <w:p w:rsidR="007C464E" w:rsidRDefault="006B4C16">
            <w:pPr>
              <w:pStyle w:val="TableParagraph"/>
              <w:spacing w:before="31"/>
              <w:ind w:left="644" w:hanging="555"/>
              <w:jc w:val="left"/>
              <w:rPr>
                <w:b/>
                <w:sz w:val="24"/>
              </w:rPr>
            </w:pPr>
            <w:r>
              <w:rPr>
                <w:b/>
                <w:sz w:val="24"/>
              </w:rPr>
              <w:t xml:space="preserve">Slow/No-Reflow </w:t>
            </w:r>
            <w:r>
              <w:rPr>
                <w:b/>
                <w:spacing w:val="-2"/>
                <w:sz w:val="24"/>
              </w:rPr>
              <w:t>(n=16)</w:t>
            </w:r>
          </w:p>
        </w:tc>
        <w:tc>
          <w:tcPr>
            <w:tcW w:w="2021" w:type="dxa"/>
          </w:tcPr>
          <w:p w:rsidR="007C464E" w:rsidRDefault="006B4C16">
            <w:pPr>
              <w:pStyle w:val="TableParagraph"/>
              <w:spacing w:before="31"/>
              <w:ind w:left="69" w:right="60"/>
              <w:rPr>
                <w:b/>
                <w:sz w:val="24"/>
              </w:rPr>
            </w:pPr>
            <w:r>
              <w:rPr>
                <w:b/>
                <w:sz w:val="24"/>
              </w:rPr>
              <w:t>p-</w:t>
            </w:r>
            <w:r>
              <w:rPr>
                <w:b/>
                <w:spacing w:val="-2"/>
                <w:sz w:val="24"/>
              </w:rPr>
              <w:t>value</w:t>
            </w:r>
          </w:p>
        </w:tc>
      </w:tr>
      <w:tr w:rsidR="007C464E">
        <w:trPr>
          <w:trHeight w:val="665"/>
        </w:trPr>
        <w:tc>
          <w:tcPr>
            <w:tcW w:w="3322" w:type="dxa"/>
            <w:gridSpan w:val="2"/>
          </w:tcPr>
          <w:p w:rsidR="007C464E" w:rsidRDefault="006B4C16">
            <w:pPr>
              <w:pStyle w:val="TableParagraph"/>
              <w:ind w:left="535"/>
              <w:jc w:val="left"/>
              <w:rPr>
                <w:sz w:val="24"/>
              </w:rPr>
            </w:pPr>
            <w:proofErr w:type="spellStart"/>
            <w:r>
              <w:rPr>
                <w:sz w:val="24"/>
              </w:rPr>
              <w:t>eGFR</w:t>
            </w:r>
            <w:proofErr w:type="spellEnd"/>
            <w:r w:rsidR="00D566DE">
              <w:rPr>
                <w:sz w:val="24"/>
              </w:rPr>
              <w:t xml:space="preserve"> </w:t>
            </w:r>
            <w:r>
              <w:rPr>
                <w:sz w:val="24"/>
              </w:rPr>
              <w:t>ml/min/m</w:t>
            </w:r>
            <w:r>
              <w:rPr>
                <w:sz w:val="24"/>
                <w:vertAlign w:val="superscript"/>
              </w:rPr>
              <w:t>2</w:t>
            </w:r>
            <w:r>
              <w:rPr>
                <w:spacing w:val="-4"/>
                <w:sz w:val="24"/>
              </w:rPr>
              <w:t xml:space="preserve"> </w:t>
            </w:r>
            <w:proofErr w:type="spellStart"/>
            <w:r>
              <w:rPr>
                <w:spacing w:val="-4"/>
                <w:sz w:val="24"/>
              </w:rPr>
              <w:t>m±sd</w:t>
            </w:r>
            <w:proofErr w:type="spellEnd"/>
          </w:p>
        </w:tc>
        <w:tc>
          <w:tcPr>
            <w:tcW w:w="2301" w:type="dxa"/>
          </w:tcPr>
          <w:p w:rsidR="007C464E" w:rsidRDefault="006B4C16">
            <w:pPr>
              <w:pStyle w:val="TableParagraph"/>
              <w:ind w:left="9" w:right="1"/>
              <w:rPr>
                <w:sz w:val="24"/>
              </w:rPr>
            </w:pPr>
            <w:r>
              <w:rPr>
                <w:spacing w:val="-2"/>
                <w:sz w:val="24"/>
              </w:rPr>
              <w:t>89.6±1.0</w:t>
            </w:r>
          </w:p>
        </w:tc>
        <w:tc>
          <w:tcPr>
            <w:tcW w:w="1991" w:type="dxa"/>
          </w:tcPr>
          <w:p w:rsidR="007C464E" w:rsidRDefault="006B4C16">
            <w:pPr>
              <w:pStyle w:val="TableParagraph"/>
              <w:spacing w:before="216"/>
              <w:ind w:left="8"/>
              <w:rPr>
                <w:sz w:val="24"/>
              </w:rPr>
            </w:pPr>
            <w:r>
              <w:rPr>
                <w:spacing w:val="-2"/>
                <w:sz w:val="24"/>
              </w:rPr>
              <w:t>76.5±5.4</w:t>
            </w:r>
          </w:p>
        </w:tc>
        <w:tc>
          <w:tcPr>
            <w:tcW w:w="2021" w:type="dxa"/>
          </w:tcPr>
          <w:p w:rsidR="007C464E" w:rsidRDefault="006B4C16">
            <w:pPr>
              <w:pStyle w:val="TableParagraph"/>
              <w:ind w:left="69" w:right="61"/>
              <w:rPr>
                <w:sz w:val="24"/>
              </w:rPr>
            </w:pPr>
            <w:r>
              <w:rPr>
                <w:spacing w:val="-2"/>
                <w:sz w:val="24"/>
              </w:rPr>
              <w:t>0.001</w:t>
            </w:r>
          </w:p>
        </w:tc>
      </w:tr>
      <w:tr w:rsidR="007C464E">
        <w:trPr>
          <w:trHeight w:val="395"/>
        </w:trPr>
        <w:tc>
          <w:tcPr>
            <w:tcW w:w="1301" w:type="dxa"/>
            <w:vMerge w:val="restart"/>
          </w:tcPr>
          <w:p w:rsidR="007C464E" w:rsidRDefault="007C464E">
            <w:pPr>
              <w:pStyle w:val="TableParagraph"/>
              <w:spacing w:before="0"/>
              <w:ind w:left="0"/>
              <w:jc w:val="left"/>
              <w:rPr>
                <w:b/>
                <w:sz w:val="24"/>
              </w:rPr>
            </w:pPr>
          </w:p>
          <w:p w:rsidR="007C464E" w:rsidRDefault="007C464E">
            <w:pPr>
              <w:pStyle w:val="TableParagraph"/>
              <w:spacing w:before="164"/>
              <w:ind w:left="0"/>
              <w:jc w:val="left"/>
              <w:rPr>
                <w:b/>
                <w:sz w:val="24"/>
              </w:rPr>
            </w:pPr>
          </w:p>
          <w:p w:rsidR="007C464E" w:rsidRDefault="006B4C16">
            <w:pPr>
              <w:pStyle w:val="TableParagraph"/>
              <w:spacing w:before="0"/>
              <w:ind w:left="9" w:right="10"/>
              <w:rPr>
                <w:sz w:val="24"/>
              </w:rPr>
            </w:pPr>
            <w:proofErr w:type="spellStart"/>
            <w:r>
              <w:rPr>
                <w:spacing w:val="-4"/>
                <w:sz w:val="24"/>
              </w:rPr>
              <w:t>eGFR</w:t>
            </w:r>
            <w:proofErr w:type="spellEnd"/>
          </w:p>
          <w:p w:rsidR="007C464E" w:rsidRDefault="006B4C16">
            <w:pPr>
              <w:pStyle w:val="TableParagraph"/>
              <w:spacing w:before="44"/>
              <w:ind w:left="10" w:right="1"/>
              <w:rPr>
                <w:sz w:val="24"/>
              </w:rPr>
            </w:pPr>
            <w:r>
              <w:rPr>
                <w:spacing w:val="-2"/>
                <w:sz w:val="24"/>
              </w:rPr>
              <w:t>ml/min/m2,</w:t>
            </w:r>
          </w:p>
          <w:p w:rsidR="007C464E" w:rsidRDefault="006B4C16">
            <w:pPr>
              <w:pStyle w:val="TableParagraph"/>
              <w:spacing w:before="44"/>
              <w:ind w:left="10" w:right="1"/>
              <w:rPr>
                <w:sz w:val="24"/>
              </w:rPr>
            </w:pPr>
            <w:proofErr w:type="gramStart"/>
            <w:r>
              <w:rPr>
                <w:i/>
                <w:sz w:val="24"/>
              </w:rPr>
              <w:t>n</w:t>
            </w:r>
            <w:proofErr w:type="gramEnd"/>
            <w:r>
              <w:rPr>
                <w:i/>
                <w:sz w:val="24"/>
              </w:rPr>
              <w:t xml:space="preserve"> </w:t>
            </w:r>
            <w:r>
              <w:rPr>
                <w:spacing w:val="-5"/>
                <w:sz w:val="24"/>
              </w:rPr>
              <w:t>(%)</w:t>
            </w:r>
          </w:p>
        </w:tc>
        <w:tc>
          <w:tcPr>
            <w:tcW w:w="2021" w:type="dxa"/>
          </w:tcPr>
          <w:p w:rsidR="007C464E" w:rsidRDefault="006B4C16">
            <w:pPr>
              <w:pStyle w:val="TableParagraph"/>
              <w:ind w:left="69"/>
              <w:rPr>
                <w:sz w:val="24"/>
              </w:rPr>
            </w:pPr>
            <w:r>
              <w:rPr>
                <w:spacing w:val="-5"/>
                <w:sz w:val="24"/>
              </w:rPr>
              <w:t>≥90</w:t>
            </w:r>
          </w:p>
        </w:tc>
        <w:tc>
          <w:tcPr>
            <w:tcW w:w="2301" w:type="dxa"/>
          </w:tcPr>
          <w:p w:rsidR="007C464E" w:rsidRDefault="006B4C16">
            <w:pPr>
              <w:pStyle w:val="TableParagraph"/>
              <w:ind w:left="9" w:right="1"/>
              <w:rPr>
                <w:sz w:val="24"/>
              </w:rPr>
            </w:pPr>
            <w:r>
              <w:rPr>
                <w:spacing w:val="-2"/>
                <w:sz w:val="24"/>
              </w:rPr>
              <w:t>123(58.3%))</w:t>
            </w:r>
          </w:p>
        </w:tc>
        <w:tc>
          <w:tcPr>
            <w:tcW w:w="1991" w:type="dxa"/>
          </w:tcPr>
          <w:p w:rsidR="007C464E" w:rsidRDefault="006B4C16">
            <w:pPr>
              <w:pStyle w:val="TableParagraph"/>
              <w:spacing w:before="81"/>
              <w:ind w:left="8"/>
              <w:rPr>
                <w:sz w:val="24"/>
              </w:rPr>
            </w:pPr>
            <w:r>
              <w:rPr>
                <w:spacing w:val="-2"/>
                <w:sz w:val="24"/>
              </w:rPr>
              <w:t>5(31.3%)</w:t>
            </w:r>
          </w:p>
        </w:tc>
        <w:tc>
          <w:tcPr>
            <w:tcW w:w="2021" w:type="dxa"/>
            <w:vMerge w:val="restart"/>
          </w:tcPr>
          <w:p w:rsidR="007C464E" w:rsidRDefault="007C464E">
            <w:pPr>
              <w:pStyle w:val="TableParagraph"/>
              <w:spacing w:before="0"/>
              <w:ind w:left="0"/>
              <w:jc w:val="left"/>
              <w:rPr>
                <w:b/>
                <w:sz w:val="24"/>
              </w:rPr>
            </w:pPr>
          </w:p>
          <w:p w:rsidR="007C464E" w:rsidRDefault="007C464E">
            <w:pPr>
              <w:pStyle w:val="TableParagraph"/>
              <w:spacing w:before="164"/>
              <w:ind w:left="0"/>
              <w:jc w:val="left"/>
              <w:rPr>
                <w:b/>
                <w:sz w:val="24"/>
              </w:rPr>
            </w:pPr>
          </w:p>
          <w:p w:rsidR="007C464E" w:rsidRDefault="006B4C16">
            <w:pPr>
              <w:pStyle w:val="TableParagraph"/>
              <w:spacing w:before="0"/>
              <w:ind w:left="69" w:right="1"/>
              <w:rPr>
                <w:sz w:val="24"/>
              </w:rPr>
            </w:pPr>
            <w:r>
              <w:rPr>
                <w:spacing w:val="-2"/>
                <w:sz w:val="24"/>
              </w:rPr>
              <w:t>0.108</w:t>
            </w:r>
          </w:p>
        </w:tc>
      </w:tr>
      <w:tr w:rsidR="007C464E">
        <w:trPr>
          <w:trHeight w:val="400"/>
        </w:trPr>
        <w:tc>
          <w:tcPr>
            <w:tcW w:w="1301" w:type="dxa"/>
            <w:vMerge/>
            <w:tcBorders>
              <w:top w:val="nil"/>
            </w:tcBorders>
          </w:tcPr>
          <w:p w:rsidR="007C464E" w:rsidRDefault="007C464E">
            <w:pPr>
              <w:rPr>
                <w:sz w:val="2"/>
                <w:szCs w:val="2"/>
              </w:rPr>
            </w:pPr>
          </w:p>
        </w:tc>
        <w:tc>
          <w:tcPr>
            <w:tcW w:w="2021" w:type="dxa"/>
          </w:tcPr>
          <w:p w:rsidR="007C464E" w:rsidRDefault="006B4C16">
            <w:pPr>
              <w:pStyle w:val="TableParagraph"/>
              <w:ind w:left="69" w:right="60"/>
              <w:rPr>
                <w:sz w:val="24"/>
              </w:rPr>
            </w:pPr>
            <w:r>
              <w:rPr>
                <w:spacing w:val="-2"/>
                <w:sz w:val="24"/>
              </w:rPr>
              <w:t>60–89</w:t>
            </w:r>
          </w:p>
        </w:tc>
        <w:tc>
          <w:tcPr>
            <w:tcW w:w="2301" w:type="dxa"/>
          </w:tcPr>
          <w:p w:rsidR="007C464E" w:rsidRDefault="006B4C16">
            <w:pPr>
              <w:pStyle w:val="TableParagraph"/>
              <w:ind w:left="9" w:right="1"/>
              <w:rPr>
                <w:sz w:val="24"/>
              </w:rPr>
            </w:pPr>
            <w:r>
              <w:rPr>
                <w:sz w:val="24"/>
              </w:rPr>
              <w:t xml:space="preserve">36 </w:t>
            </w:r>
            <w:r>
              <w:rPr>
                <w:spacing w:val="-2"/>
                <w:sz w:val="24"/>
              </w:rPr>
              <w:t>(17.1%)</w:t>
            </w:r>
          </w:p>
        </w:tc>
        <w:tc>
          <w:tcPr>
            <w:tcW w:w="1991" w:type="dxa"/>
          </w:tcPr>
          <w:p w:rsidR="007C464E" w:rsidRDefault="006B4C16">
            <w:pPr>
              <w:pStyle w:val="TableParagraph"/>
              <w:spacing w:before="86"/>
              <w:ind w:left="8"/>
              <w:rPr>
                <w:sz w:val="24"/>
              </w:rPr>
            </w:pPr>
            <w:r>
              <w:rPr>
                <w:spacing w:val="-2"/>
                <w:sz w:val="24"/>
              </w:rPr>
              <w:t>4(25.0%)</w:t>
            </w:r>
          </w:p>
        </w:tc>
        <w:tc>
          <w:tcPr>
            <w:tcW w:w="2021" w:type="dxa"/>
            <w:vMerge/>
            <w:tcBorders>
              <w:top w:val="nil"/>
            </w:tcBorders>
          </w:tcPr>
          <w:p w:rsidR="007C464E" w:rsidRDefault="007C464E">
            <w:pPr>
              <w:rPr>
                <w:sz w:val="2"/>
                <w:szCs w:val="2"/>
              </w:rPr>
            </w:pPr>
          </w:p>
        </w:tc>
      </w:tr>
      <w:tr w:rsidR="007C464E">
        <w:trPr>
          <w:trHeight w:val="395"/>
        </w:trPr>
        <w:tc>
          <w:tcPr>
            <w:tcW w:w="1301" w:type="dxa"/>
            <w:vMerge/>
            <w:tcBorders>
              <w:top w:val="nil"/>
            </w:tcBorders>
          </w:tcPr>
          <w:p w:rsidR="007C464E" w:rsidRDefault="007C464E">
            <w:pPr>
              <w:rPr>
                <w:sz w:val="2"/>
                <w:szCs w:val="2"/>
              </w:rPr>
            </w:pPr>
          </w:p>
        </w:tc>
        <w:tc>
          <w:tcPr>
            <w:tcW w:w="2021" w:type="dxa"/>
          </w:tcPr>
          <w:p w:rsidR="007C464E" w:rsidRDefault="006B4C16">
            <w:pPr>
              <w:pStyle w:val="TableParagraph"/>
              <w:ind w:left="69" w:right="60"/>
              <w:rPr>
                <w:sz w:val="24"/>
              </w:rPr>
            </w:pPr>
            <w:r>
              <w:rPr>
                <w:spacing w:val="-2"/>
                <w:sz w:val="24"/>
              </w:rPr>
              <w:t>45–69</w:t>
            </w:r>
          </w:p>
        </w:tc>
        <w:tc>
          <w:tcPr>
            <w:tcW w:w="2301" w:type="dxa"/>
          </w:tcPr>
          <w:p w:rsidR="007C464E" w:rsidRDefault="006B4C16">
            <w:pPr>
              <w:pStyle w:val="TableParagraph"/>
              <w:ind w:left="9" w:right="1"/>
              <w:rPr>
                <w:sz w:val="24"/>
              </w:rPr>
            </w:pPr>
            <w:r>
              <w:rPr>
                <w:spacing w:val="-2"/>
                <w:sz w:val="24"/>
              </w:rPr>
              <w:t>29(13.7%)</w:t>
            </w:r>
          </w:p>
        </w:tc>
        <w:tc>
          <w:tcPr>
            <w:tcW w:w="1991" w:type="dxa"/>
          </w:tcPr>
          <w:p w:rsidR="007C464E" w:rsidRDefault="006B4C16">
            <w:pPr>
              <w:pStyle w:val="TableParagraph"/>
              <w:spacing w:before="86"/>
              <w:ind w:left="8"/>
              <w:rPr>
                <w:sz w:val="24"/>
              </w:rPr>
            </w:pPr>
            <w:r>
              <w:rPr>
                <w:spacing w:val="-2"/>
                <w:sz w:val="24"/>
              </w:rPr>
              <w:t>2(12.5%)</w:t>
            </w:r>
          </w:p>
        </w:tc>
        <w:tc>
          <w:tcPr>
            <w:tcW w:w="2021" w:type="dxa"/>
            <w:vMerge/>
            <w:tcBorders>
              <w:top w:val="nil"/>
            </w:tcBorders>
          </w:tcPr>
          <w:p w:rsidR="007C464E" w:rsidRDefault="007C464E">
            <w:pPr>
              <w:rPr>
                <w:sz w:val="2"/>
                <w:szCs w:val="2"/>
              </w:rPr>
            </w:pPr>
          </w:p>
        </w:tc>
      </w:tr>
      <w:tr w:rsidR="007C464E">
        <w:trPr>
          <w:trHeight w:val="400"/>
        </w:trPr>
        <w:tc>
          <w:tcPr>
            <w:tcW w:w="1301" w:type="dxa"/>
            <w:vMerge/>
            <w:tcBorders>
              <w:top w:val="nil"/>
            </w:tcBorders>
          </w:tcPr>
          <w:p w:rsidR="007C464E" w:rsidRDefault="007C464E">
            <w:pPr>
              <w:rPr>
                <w:sz w:val="2"/>
                <w:szCs w:val="2"/>
              </w:rPr>
            </w:pPr>
          </w:p>
        </w:tc>
        <w:tc>
          <w:tcPr>
            <w:tcW w:w="2021" w:type="dxa"/>
          </w:tcPr>
          <w:p w:rsidR="007C464E" w:rsidRDefault="006B4C16">
            <w:pPr>
              <w:pStyle w:val="TableParagraph"/>
              <w:ind w:left="69" w:right="60"/>
              <w:rPr>
                <w:sz w:val="24"/>
              </w:rPr>
            </w:pPr>
            <w:r>
              <w:rPr>
                <w:spacing w:val="-2"/>
                <w:sz w:val="24"/>
              </w:rPr>
              <w:t>30–44</w:t>
            </w:r>
          </w:p>
        </w:tc>
        <w:tc>
          <w:tcPr>
            <w:tcW w:w="2301" w:type="dxa"/>
          </w:tcPr>
          <w:p w:rsidR="007C464E" w:rsidRDefault="006B4C16">
            <w:pPr>
              <w:pStyle w:val="TableParagraph"/>
              <w:ind w:left="9" w:right="1"/>
              <w:rPr>
                <w:sz w:val="24"/>
              </w:rPr>
            </w:pPr>
            <w:r>
              <w:rPr>
                <w:spacing w:val="-2"/>
                <w:sz w:val="24"/>
              </w:rPr>
              <w:t>15(7.1%)</w:t>
            </w:r>
          </w:p>
        </w:tc>
        <w:tc>
          <w:tcPr>
            <w:tcW w:w="1991" w:type="dxa"/>
          </w:tcPr>
          <w:p w:rsidR="007C464E" w:rsidRDefault="006B4C16">
            <w:pPr>
              <w:pStyle w:val="TableParagraph"/>
              <w:spacing w:before="86"/>
              <w:ind w:left="8"/>
              <w:rPr>
                <w:sz w:val="24"/>
              </w:rPr>
            </w:pPr>
            <w:r>
              <w:rPr>
                <w:spacing w:val="-2"/>
                <w:sz w:val="24"/>
              </w:rPr>
              <w:t>3(18.7%)</w:t>
            </w:r>
          </w:p>
        </w:tc>
        <w:tc>
          <w:tcPr>
            <w:tcW w:w="2021" w:type="dxa"/>
            <w:vMerge/>
            <w:tcBorders>
              <w:top w:val="nil"/>
            </w:tcBorders>
          </w:tcPr>
          <w:p w:rsidR="007C464E" w:rsidRDefault="007C464E">
            <w:pPr>
              <w:rPr>
                <w:sz w:val="2"/>
                <w:szCs w:val="2"/>
              </w:rPr>
            </w:pPr>
          </w:p>
        </w:tc>
      </w:tr>
      <w:tr w:rsidR="007C464E">
        <w:trPr>
          <w:trHeight w:val="400"/>
        </w:trPr>
        <w:tc>
          <w:tcPr>
            <w:tcW w:w="1301" w:type="dxa"/>
            <w:vMerge/>
            <w:tcBorders>
              <w:top w:val="nil"/>
            </w:tcBorders>
          </w:tcPr>
          <w:p w:rsidR="007C464E" w:rsidRDefault="007C464E">
            <w:pPr>
              <w:rPr>
                <w:sz w:val="2"/>
                <w:szCs w:val="2"/>
              </w:rPr>
            </w:pPr>
          </w:p>
        </w:tc>
        <w:tc>
          <w:tcPr>
            <w:tcW w:w="2021" w:type="dxa"/>
          </w:tcPr>
          <w:p w:rsidR="007C464E" w:rsidRDefault="006B4C16">
            <w:pPr>
              <w:pStyle w:val="TableParagraph"/>
              <w:ind w:left="69" w:right="60"/>
              <w:rPr>
                <w:sz w:val="24"/>
              </w:rPr>
            </w:pPr>
            <w:r>
              <w:rPr>
                <w:spacing w:val="-2"/>
                <w:sz w:val="24"/>
              </w:rPr>
              <w:t>15–29</w:t>
            </w:r>
          </w:p>
        </w:tc>
        <w:tc>
          <w:tcPr>
            <w:tcW w:w="2301" w:type="dxa"/>
          </w:tcPr>
          <w:p w:rsidR="007C464E" w:rsidRDefault="006B4C16">
            <w:pPr>
              <w:pStyle w:val="TableParagraph"/>
              <w:ind w:left="9"/>
              <w:rPr>
                <w:sz w:val="24"/>
              </w:rPr>
            </w:pPr>
            <w:r>
              <w:rPr>
                <w:spacing w:val="-2"/>
                <w:sz w:val="24"/>
              </w:rPr>
              <w:t>8(3.8%)</w:t>
            </w:r>
          </w:p>
        </w:tc>
        <w:tc>
          <w:tcPr>
            <w:tcW w:w="1991" w:type="dxa"/>
          </w:tcPr>
          <w:p w:rsidR="007C464E" w:rsidRDefault="006B4C16">
            <w:pPr>
              <w:pStyle w:val="TableParagraph"/>
              <w:spacing w:before="86"/>
              <w:ind w:left="8"/>
              <w:rPr>
                <w:sz w:val="24"/>
              </w:rPr>
            </w:pPr>
            <w:r>
              <w:rPr>
                <w:spacing w:val="-2"/>
                <w:sz w:val="24"/>
              </w:rPr>
              <w:t>2(12.5%)</w:t>
            </w:r>
          </w:p>
        </w:tc>
        <w:tc>
          <w:tcPr>
            <w:tcW w:w="2021" w:type="dxa"/>
            <w:vMerge/>
            <w:tcBorders>
              <w:top w:val="nil"/>
            </w:tcBorders>
          </w:tcPr>
          <w:p w:rsidR="007C464E" w:rsidRDefault="007C464E">
            <w:pPr>
              <w:rPr>
                <w:sz w:val="2"/>
                <w:szCs w:val="2"/>
              </w:rPr>
            </w:pPr>
          </w:p>
        </w:tc>
      </w:tr>
      <w:tr w:rsidR="007C464E">
        <w:trPr>
          <w:trHeight w:val="395"/>
        </w:trPr>
        <w:tc>
          <w:tcPr>
            <w:tcW w:w="9635" w:type="dxa"/>
            <w:gridSpan w:val="5"/>
          </w:tcPr>
          <w:p w:rsidR="007C464E" w:rsidRDefault="006B4C16">
            <w:pPr>
              <w:pStyle w:val="TableParagraph"/>
              <w:ind w:left="30"/>
              <w:jc w:val="left"/>
              <w:rPr>
                <w:sz w:val="24"/>
              </w:rPr>
            </w:pPr>
            <w:r>
              <w:rPr>
                <w:sz w:val="24"/>
              </w:rPr>
              <w:t>Short</w:t>
            </w:r>
            <w:r w:rsidR="00D566DE">
              <w:rPr>
                <w:sz w:val="24"/>
              </w:rPr>
              <w:t xml:space="preserve"> </w:t>
            </w:r>
            <w:r>
              <w:rPr>
                <w:sz w:val="24"/>
              </w:rPr>
              <w:t>Term</w:t>
            </w:r>
            <w:r w:rsidR="00D566DE">
              <w:rPr>
                <w:sz w:val="24"/>
              </w:rPr>
              <w:t xml:space="preserve"> </w:t>
            </w:r>
            <w:r>
              <w:rPr>
                <w:sz w:val="24"/>
              </w:rPr>
              <w:t>Outcome</w:t>
            </w:r>
            <w:r w:rsidR="00D566DE">
              <w:rPr>
                <w:sz w:val="24"/>
              </w:rPr>
              <w:t xml:space="preserve"> </w:t>
            </w:r>
            <w:r>
              <w:rPr>
                <w:spacing w:val="-2"/>
                <w:sz w:val="24"/>
              </w:rPr>
              <w:t>Variable</w:t>
            </w:r>
          </w:p>
        </w:tc>
      </w:tr>
      <w:tr w:rsidR="007C464E">
        <w:trPr>
          <w:trHeight w:val="700"/>
        </w:trPr>
        <w:tc>
          <w:tcPr>
            <w:tcW w:w="3322" w:type="dxa"/>
            <w:gridSpan w:val="2"/>
          </w:tcPr>
          <w:p w:rsidR="007C464E" w:rsidRDefault="006B4C16">
            <w:pPr>
              <w:pStyle w:val="TableParagraph"/>
              <w:ind w:left="30"/>
              <w:jc w:val="left"/>
              <w:rPr>
                <w:sz w:val="24"/>
              </w:rPr>
            </w:pPr>
            <w:r>
              <w:rPr>
                <w:sz w:val="24"/>
              </w:rPr>
              <w:t>Mortality(within30</w:t>
            </w:r>
            <w:r>
              <w:rPr>
                <w:spacing w:val="-4"/>
                <w:sz w:val="24"/>
              </w:rPr>
              <w:t>days)</w:t>
            </w:r>
          </w:p>
        </w:tc>
        <w:tc>
          <w:tcPr>
            <w:tcW w:w="2301" w:type="dxa"/>
          </w:tcPr>
          <w:p w:rsidR="007C464E" w:rsidRDefault="006B4C16">
            <w:pPr>
              <w:pStyle w:val="TableParagraph"/>
              <w:spacing w:before="236"/>
              <w:ind w:left="9" w:right="1"/>
              <w:rPr>
                <w:sz w:val="24"/>
              </w:rPr>
            </w:pPr>
            <w:r>
              <w:rPr>
                <w:spacing w:val="-2"/>
                <w:sz w:val="24"/>
              </w:rPr>
              <w:t>0(0.0%)</w:t>
            </w:r>
          </w:p>
        </w:tc>
        <w:tc>
          <w:tcPr>
            <w:tcW w:w="1991" w:type="dxa"/>
          </w:tcPr>
          <w:p w:rsidR="007C464E" w:rsidRDefault="006B4C16">
            <w:pPr>
              <w:pStyle w:val="TableParagraph"/>
              <w:spacing w:before="236"/>
              <w:ind w:left="8"/>
              <w:rPr>
                <w:sz w:val="24"/>
              </w:rPr>
            </w:pPr>
            <w:r>
              <w:rPr>
                <w:spacing w:val="-2"/>
                <w:sz w:val="24"/>
              </w:rPr>
              <w:t>1(6.3%)</w:t>
            </w:r>
          </w:p>
        </w:tc>
        <w:tc>
          <w:tcPr>
            <w:tcW w:w="2021" w:type="dxa"/>
          </w:tcPr>
          <w:p w:rsidR="007C464E" w:rsidRDefault="006B4C16">
            <w:pPr>
              <w:pStyle w:val="TableParagraph"/>
              <w:spacing w:before="236"/>
              <w:ind w:left="69" w:right="61"/>
              <w:rPr>
                <w:sz w:val="24"/>
              </w:rPr>
            </w:pPr>
            <w:r>
              <w:rPr>
                <w:spacing w:val="-2"/>
                <w:sz w:val="24"/>
              </w:rPr>
              <w:t>0.141</w:t>
            </w:r>
          </w:p>
        </w:tc>
      </w:tr>
    </w:tbl>
    <w:p w:rsidR="007C464E" w:rsidRDefault="007C464E">
      <w:pPr>
        <w:pStyle w:val="BodyText"/>
        <w:spacing w:before="246"/>
        <w:ind w:left="0"/>
        <w:rPr>
          <w:b/>
        </w:rPr>
      </w:pPr>
    </w:p>
    <w:p w:rsidR="007C464E" w:rsidRDefault="006B4C16">
      <w:pPr>
        <w:pStyle w:val="BodyText"/>
        <w:spacing w:line="276" w:lineRule="auto"/>
        <w:ind w:right="355"/>
        <w:jc w:val="both"/>
        <w:rPr>
          <w:b/>
        </w:rPr>
      </w:pPr>
      <w:r>
        <w:t xml:space="preserve">Mean </w:t>
      </w:r>
      <w:proofErr w:type="spellStart"/>
      <w:r>
        <w:t>eGFR</w:t>
      </w:r>
      <w:proofErr w:type="spellEnd"/>
      <w:r>
        <w:t xml:space="preserve"> was substantially greater in patients with TIMI 3 flow than in slow-flow/no-reflow patients (89.6±1.0 vs. 76.5±5.4 ml/min/m², p=0.001).A significantly higher percentage of patients with TIMI 3 flow (58.3% vs. 31.3%), when divided into </w:t>
      </w:r>
      <w:proofErr w:type="spellStart"/>
      <w:r>
        <w:t>eGFR</w:t>
      </w:r>
      <w:proofErr w:type="spellEnd"/>
      <w:r>
        <w:t xml:space="preserve"> categories, had retained kidney function (</w:t>
      </w:r>
      <w:r>
        <w:rPr>
          <w:rFonts w:ascii="SimSun" w:hAnsi="SimSun"/>
        </w:rPr>
        <w:t>≥</w:t>
      </w:r>
      <w:r>
        <w:t>90 ml/min/m</w:t>
      </w:r>
      <w:r>
        <w:rPr>
          <w:rFonts w:ascii="SimSun" w:hAnsi="SimSun"/>
        </w:rPr>
        <w:t>²</w:t>
      </w:r>
      <w:r>
        <w:t>).The slow-flow/no-reflow group;. 25.0% vs 17.1% of</w:t>
      </w:r>
      <w:r w:rsidR="00D566DE">
        <w:t xml:space="preserve"> </w:t>
      </w:r>
      <w:r>
        <w:t>patients in that group had mild to moderate renal impairment, defined as 60-89 ml/min/1.73 m². There were fewer cases of moderate to severe renal impairment (</w:t>
      </w:r>
      <w:proofErr w:type="spellStart"/>
      <w:r>
        <w:t>eGFR</w:t>
      </w:r>
      <w:proofErr w:type="spellEnd"/>
      <w:r>
        <w:t>&lt;60 ml/min/1.73 m²), although it was more common in the group that had slow flow and no reflow.</w:t>
      </w:r>
      <w:r w:rsidR="00D566DE">
        <w:t xml:space="preserve"> </w:t>
      </w:r>
      <w:r>
        <w:t xml:space="preserve">One death within 30 days after the procedure was observed in the group with slow or no reflow, but the p-value was not statistically significant. This finding clearly shows that declining renal function, even in its early stages, is a powerful predictor of microvascular dysfunction and poor reperfusion following primary PCI. The mortality observed in slow or no reflow group. </w:t>
      </w:r>
      <w:r>
        <w:rPr>
          <w:b/>
        </w:rPr>
        <w:t>(Table-3)</w:t>
      </w:r>
    </w:p>
    <w:p w:rsidR="007C464E" w:rsidRDefault="007C464E">
      <w:pPr>
        <w:pStyle w:val="BodyText"/>
        <w:spacing w:line="276" w:lineRule="auto"/>
        <w:jc w:val="both"/>
        <w:rPr>
          <w:b/>
        </w:rPr>
        <w:sectPr w:rsidR="007C464E">
          <w:pgSz w:w="12240" w:h="15840"/>
          <w:pgMar w:top="1300" w:right="1080" w:bottom="280" w:left="1080" w:header="720" w:footer="720" w:gutter="0"/>
          <w:cols w:space="720"/>
        </w:sectPr>
      </w:pPr>
    </w:p>
    <w:p w:rsidR="007C464E" w:rsidRDefault="006B4C16">
      <w:pPr>
        <w:pStyle w:val="Heading1"/>
        <w:tabs>
          <w:tab w:val="left" w:pos="1800"/>
        </w:tabs>
        <w:spacing w:before="71" w:line="273" w:lineRule="auto"/>
        <w:ind w:right="1374"/>
      </w:pPr>
      <w:r>
        <w:lastRenderedPageBreak/>
        <w:t>Table 4:</w:t>
      </w:r>
      <w:r>
        <w:tab/>
        <w:t>Multi</w:t>
      </w:r>
      <w:r w:rsidR="00D566DE">
        <w:t xml:space="preserve"> </w:t>
      </w:r>
      <w:r>
        <w:t>variate</w:t>
      </w:r>
      <w:r w:rsidR="00D566DE">
        <w:t xml:space="preserve"> </w:t>
      </w:r>
      <w:r>
        <w:t>logistic</w:t>
      </w:r>
      <w:r w:rsidR="00D566DE">
        <w:t xml:space="preserve"> </w:t>
      </w:r>
      <w:r>
        <w:t>regression</w:t>
      </w:r>
      <w:r w:rsidR="00D566DE">
        <w:t xml:space="preserve"> </w:t>
      </w:r>
      <w:r>
        <w:t>analysis</w:t>
      </w:r>
      <w:r w:rsidR="00D566DE">
        <w:t xml:space="preserve"> </w:t>
      </w:r>
      <w:r>
        <w:t>showing</w:t>
      </w:r>
      <w:r w:rsidR="00D566DE">
        <w:t xml:space="preserve"> </w:t>
      </w:r>
      <w:r>
        <w:t>predictors</w:t>
      </w:r>
      <w:r w:rsidR="00D566DE">
        <w:t xml:space="preserve"> </w:t>
      </w:r>
      <w:r>
        <w:t>of</w:t>
      </w:r>
      <w:r w:rsidR="00D566DE">
        <w:t xml:space="preserve"> </w:t>
      </w:r>
      <w:r>
        <w:t>post- procedural TIMI Flow Grade (Slow/No-Reflow)</w:t>
      </w:r>
    </w:p>
    <w:p w:rsidR="007C464E" w:rsidRDefault="007C464E">
      <w:pPr>
        <w:pStyle w:val="BodyText"/>
        <w:spacing w:before="9" w:after="1"/>
        <w:ind w:left="0"/>
        <w:rPr>
          <w:b/>
          <w:sz w:val="17"/>
        </w:r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1"/>
        <w:gridCol w:w="1976"/>
        <w:gridCol w:w="2246"/>
        <w:gridCol w:w="1946"/>
        <w:gridCol w:w="1976"/>
      </w:tblGrid>
      <w:tr w:rsidR="007C464E">
        <w:trPr>
          <w:trHeight w:val="610"/>
        </w:trPr>
        <w:tc>
          <w:tcPr>
            <w:tcW w:w="3247" w:type="dxa"/>
            <w:gridSpan w:val="2"/>
          </w:tcPr>
          <w:p w:rsidR="007C464E" w:rsidRDefault="006B4C16">
            <w:pPr>
              <w:pStyle w:val="TableParagraph"/>
              <w:spacing w:before="31"/>
              <w:ind w:left="105" w:right="99"/>
              <w:rPr>
                <w:b/>
                <w:sz w:val="24"/>
              </w:rPr>
            </w:pPr>
            <w:r>
              <w:rPr>
                <w:b/>
                <w:spacing w:val="-2"/>
                <w:sz w:val="24"/>
              </w:rPr>
              <w:t>Variables</w:t>
            </w:r>
          </w:p>
        </w:tc>
        <w:tc>
          <w:tcPr>
            <w:tcW w:w="2246" w:type="dxa"/>
          </w:tcPr>
          <w:p w:rsidR="007C464E" w:rsidRDefault="006B4C16">
            <w:pPr>
              <w:pStyle w:val="TableParagraph"/>
              <w:spacing w:before="31"/>
              <w:ind w:left="539" w:hanging="205"/>
              <w:jc w:val="left"/>
              <w:rPr>
                <w:b/>
                <w:sz w:val="24"/>
              </w:rPr>
            </w:pPr>
            <w:r>
              <w:rPr>
                <w:b/>
                <w:sz w:val="24"/>
              </w:rPr>
              <w:t>Adjusted</w:t>
            </w:r>
            <w:r w:rsidR="00750C00">
              <w:rPr>
                <w:b/>
                <w:sz w:val="24"/>
              </w:rPr>
              <w:t xml:space="preserve"> </w:t>
            </w:r>
            <w:r>
              <w:rPr>
                <w:b/>
                <w:sz w:val="24"/>
              </w:rPr>
              <w:t>Odds Ratio (OR)</w:t>
            </w:r>
          </w:p>
        </w:tc>
        <w:tc>
          <w:tcPr>
            <w:tcW w:w="1946" w:type="dxa"/>
          </w:tcPr>
          <w:p w:rsidR="007C464E" w:rsidRDefault="006B4C16">
            <w:pPr>
              <w:pStyle w:val="TableParagraph"/>
              <w:spacing w:before="31"/>
              <w:ind w:left="5" w:right="11"/>
              <w:rPr>
                <w:b/>
                <w:sz w:val="24"/>
              </w:rPr>
            </w:pPr>
            <w:r>
              <w:rPr>
                <w:b/>
                <w:sz w:val="24"/>
              </w:rPr>
              <w:t xml:space="preserve">95% </w:t>
            </w:r>
            <w:r>
              <w:rPr>
                <w:b/>
                <w:spacing w:val="-5"/>
                <w:sz w:val="24"/>
              </w:rPr>
              <w:t>CI</w:t>
            </w:r>
          </w:p>
        </w:tc>
        <w:tc>
          <w:tcPr>
            <w:tcW w:w="1976" w:type="dxa"/>
          </w:tcPr>
          <w:p w:rsidR="007C464E" w:rsidRDefault="006B4C16">
            <w:pPr>
              <w:pStyle w:val="TableParagraph"/>
              <w:spacing w:before="31"/>
              <w:ind w:left="64" w:right="60"/>
              <w:rPr>
                <w:b/>
                <w:sz w:val="24"/>
              </w:rPr>
            </w:pPr>
            <w:r>
              <w:rPr>
                <w:b/>
                <w:sz w:val="24"/>
              </w:rPr>
              <w:t>p-</w:t>
            </w:r>
            <w:r>
              <w:rPr>
                <w:b/>
                <w:spacing w:val="-2"/>
                <w:sz w:val="24"/>
              </w:rPr>
              <w:t>value</w:t>
            </w:r>
          </w:p>
        </w:tc>
      </w:tr>
      <w:tr w:rsidR="007C464E">
        <w:trPr>
          <w:trHeight w:val="485"/>
        </w:trPr>
        <w:tc>
          <w:tcPr>
            <w:tcW w:w="1271" w:type="dxa"/>
            <w:vMerge w:val="restart"/>
          </w:tcPr>
          <w:p w:rsidR="007C464E" w:rsidRDefault="007C464E">
            <w:pPr>
              <w:pStyle w:val="TableParagraph"/>
              <w:spacing w:before="0"/>
              <w:ind w:left="0"/>
              <w:jc w:val="left"/>
              <w:rPr>
                <w:b/>
                <w:sz w:val="24"/>
              </w:rPr>
            </w:pPr>
          </w:p>
          <w:p w:rsidR="007C464E" w:rsidRDefault="007C464E">
            <w:pPr>
              <w:pStyle w:val="TableParagraph"/>
              <w:spacing w:before="163"/>
              <w:ind w:left="0"/>
              <w:jc w:val="left"/>
              <w:rPr>
                <w:b/>
                <w:sz w:val="24"/>
              </w:rPr>
            </w:pPr>
          </w:p>
          <w:p w:rsidR="007C464E" w:rsidRDefault="006B4C16">
            <w:pPr>
              <w:pStyle w:val="TableParagraph"/>
              <w:spacing w:before="1"/>
              <w:ind w:left="10" w:right="11"/>
              <w:rPr>
                <w:sz w:val="24"/>
              </w:rPr>
            </w:pPr>
            <w:proofErr w:type="spellStart"/>
            <w:r>
              <w:rPr>
                <w:spacing w:val="-4"/>
                <w:sz w:val="24"/>
              </w:rPr>
              <w:t>eGFR</w:t>
            </w:r>
            <w:proofErr w:type="spellEnd"/>
          </w:p>
          <w:p w:rsidR="007C464E" w:rsidRDefault="006B4C16">
            <w:pPr>
              <w:pStyle w:val="TableParagraph"/>
              <w:spacing w:before="44"/>
              <w:ind w:left="10" w:right="1"/>
              <w:rPr>
                <w:sz w:val="24"/>
              </w:rPr>
            </w:pPr>
            <w:r>
              <w:rPr>
                <w:spacing w:val="-2"/>
                <w:sz w:val="24"/>
              </w:rPr>
              <w:t>ml/min/m2,</w:t>
            </w:r>
          </w:p>
          <w:p w:rsidR="007C464E" w:rsidRDefault="006B4C16">
            <w:pPr>
              <w:pStyle w:val="TableParagraph"/>
              <w:spacing w:before="44"/>
              <w:ind w:left="11" w:right="1"/>
              <w:rPr>
                <w:sz w:val="24"/>
              </w:rPr>
            </w:pPr>
            <w:proofErr w:type="gramStart"/>
            <w:r>
              <w:rPr>
                <w:i/>
                <w:sz w:val="24"/>
              </w:rPr>
              <w:t>n</w:t>
            </w:r>
            <w:proofErr w:type="gramEnd"/>
            <w:r>
              <w:rPr>
                <w:i/>
                <w:sz w:val="24"/>
              </w:rPr>
              <w:t xml:space="preserve"> </w:t>
            </w:r>
            <w:r>
              <w:rPr>
                <w:spacing w:val="-5"/>
                <w:sz w:val="24"/>
              </w:rPr>
              <w:t>(%)</w:t>
            </w:r>
          </w:p>
        </w:tc>
        <w:tc>
          <w:tcPr>
            <w:tcW w:w="1976" w:type="dxa"/>
          </w:tcPr>
          <w:p w:rsidR="007C464E" w:rsidRDefault="006B4C16">
            <w:pPr>
              <w:pStyle w:val="TableParagraph"/>
              <w:ind w:left="64"/>
              <w:rPr>
                <w:sz w:val="24"/>
              </w:rPr>
            </w:pPr>
            <w:r>
              <w:rPr>
                <w:spacing w:val="-5"/>
                <w:sz w:val="24"/>
              </w:rPr>
              <w:t>≥90</w:t>
            </w:r>
          </w:p>
        </w:tc>
        <w:tc>
          <w:tcPr>
            <w:tcW w:w="2246" w:type="dxa"/>
          </w:tcPr>
          <w:p w:rsidR="007C464E" w:rsidRDefault="006B4C16">
            <w:pPr>
              <w:pStyle w:val="TableParagraph"/>
              <w:ind w:left="24" w:right="20"/>
              <w:rPr>
                <w:sz w:val="24"/>
              </w:rPr>
            </w:pPr>
            <w:r>
              <w:rPr>
                <w:spacing w:val="-4"/>
                <w:sz w:val="24"/>
              </w:rPr>
              <w:t>1.00</w:t>
            </w:r>
          </w:p>
        </w:tc>
        <w:tc>
          <w:tcPr>
            <w:tcW w:w="1946" w:type="dxa"/>
          </w:tcPr>
          <w:p w:rsidR="007C464E" w:rsidRDefault="006B4C16">
            <w:pPr>
              <w:pStyle w:val="TableParagraph"/>
              <w:spacing w:before="126"/>
              <w:ind w:left="10" w:right="7"/>
              <w:rPr>
                <w:sz w:val="24"/>
              </w:rPr>
            </w:pPr>
            <w:r>
              <w:rPr>
                <w:spacing w:val="-10"/>
                <w:sz w:val="24"/>
              </w:rPr>
              <w:t>-</w:t>
            </w:r>
          </w:p>
        </w:tc>
        <w:tc>
          <w:tcPr>
            <w:tcW w:w="1976" w:type="dxa"/>
          </w:tcPr>
          <w:p w:rsidR="007C464E" w:rsidRDefault="006B4C16">
            <w:pPr>
              <w:pStyle w:val="TableParagraph"/>
              <w:ind w:left="64" w:right="62"/>
              <w:rPr>
                <w:sz w:val="24"/>
              </w:rPr>
            </w:pPr>
            <w:r>
              <w:rPr>
                <w:spacing w:val="-10"/>
                <w:sz w:val="24"/>
              </w:rPr>
              <w:t>-</w:t>
            </w:r>
          </w:p>
        </w:tc>
      </w:tr>
      <w:tr w:rsidR="007C464E">
        <w:trPr>
          <w:trHeight w:val="380"/>
        </w:trPr>
        <w:tc>
          <w:tcPr>
            <w:tcW w:w="1271" w:type="dxa"/>
            <w:vMerge/>
            <w:tcBorders>
              <w:top w:val="nil"/>
            </w:tcBorders>
          </w:tcPr>
          <w:p w:rsidR="007C464E" w:rsidRDefault="007C464E">
            <w:pPr>
              <w:rPr>
                <w:sz w:val="2"/>
                <w:szCs w:val="2"/>
              </w:rPr>
            </w:pPr>
          </w:p>
        </w:tc>
        <w:tc>
          <w:tcPr>
            <w:tcW w:w="1976" w:type="dxa"/>
          </w:tcPr>
          <w:p w:rsidR="007C464E" w:rsidRDefault="006B4C16">
            <w:pPr>
              <w:pStyle w:val="TableParagraph"/>
              <w:ind w:left="64" w:right="60"/>
              <w:rPr>
                <w:sz w:val="24"/>
              </w:rPr>
            </w:pPr>
            <w:r>
              <w:rPr>
                <w:spacing w:val="-2"/>
                <w:sz w:val="24"/>
              </w:rPr>
              <w:t>60–89</w:t>
            </w:r>
          </w:p>
        </w:tc>
        <w:tc>
          <w:tcPr>
            <w:tcW w:w="2246" w:type="dxa"/>
          </w:tcPr>
          <w:p w:rsidR="007C464E" w:rsidRDefault="006B4C16">
            <w:pPr>
              <w:pStyle w:val="TableParagraph"/>
              <w:ind w:left="24" w:right="20"/>
              <w:rPr>
                <w:sz w:val="24"/>
              </w:rPr>
            </w:pPr>
            <w:r>
              <w:rPr>
                <w:spacing w:val="-4"/>
                <w:sz w:val="24"/>
              </w:rPr>
              <w:t>1.45</w:t>
            </w:r>
          </w:p>
        </w:tc>
        <w:tc>
          <w:tcPr>
            <w:tcW w:w="1946" w:type="dxa"/>
          </w:tcPr>
          <w:p w:rsidR="007C464E" w:rsidRDefault="006B4C16">
            <w:pPr>
              <w:pStyle w:val="TableParagraph"/>
              <w:ind w:left="429"/>
              <w:jc w:val="left"/>
              <w:rPr>
                <w:sz w:val="24"/>
              </w:rPr>
            </w:pPr>
            <w:r>
              <w:rPr>
                <w:sz w:val="24"/>
              </w:rPr>
              <w:t xml:space="preserve">0.82 – </w:t>
            </w:r>
            <w:r>
              <w:rPr>
                <w:spacing w:val="-4"/>
                <w:sz w:val="24"/>
              </w:rPr>
              <w:t>2.57</w:t>
            </w:r>
          </w:p>
        </w:tc>
        <w:tc>
          <w:tcPr>
            <w:tcW w:w="1976" w:type="dxa"/>
          </w:tcPr>
          <w:p w:rsidR="007C464E" w:rsidRDefault="006B4C16">
            <w:pPr>
              <w:pStyle w:val="TableParagraph"/>
              <w:ind w:left="64" w:right="61"/>
              <w:rPr>
                <w:sz w:val="24"/>
              </w:rPr>
            </w:pPr>
            <w:r>
              <w:rPr>
                <w:spacing w:val="-4"/>
                <w:sz w:val="24"/>
              </w:rPr>
              <w:t>0.21</w:t>
            </w:r>
          </w:p>
        </w:tc>
      </w:tr>
      <w:tr w:rsidR="007C464E">
        <w:trPr>
          <w:trHeight w:val="380"/>
        </w:trPr>
        <w:tc>
          <w:tcPr>
            <w:tcW w:w="1271" w:type="dxa"/>
            <w:vMerge/>
            <w:tcBorders>
              <w:top w:val="nil"/>
            </w:tcBorders>
          </w:tcPr>
          <w:p w:rsidR="007C464E" w:rsidRDefault="007C464E">
            <w:pPr>
              <w:rPr>
                <w:sz w:val="2"/>
                <w:szCs w:val="2"/>
              </w:rPr>
            </w:pPr>
          </w:p>
        </w:tc>
        <w:tc>
          <w:tcPr>
            <w:tcW w:w="1976" w:type="dxa"/>
          </w:tcPr>
          <w:p w:rsidR="007C464E" w:rsidRDefault="006B4C16">
            <w:pPr>
              <w:pStyle w:val="TableParagraph"/>
              <w:ind w:left="64" w:right="60"/>
              <w:rPr>
                <w:sz w:val="24"/>
              </w:rPr>
            </w:pPr>
            <w:r>
              <w:rPr>
                <w:spacing w:val="-2"/>
                <w:sz w:val="24"/>
              </w:rPr>
              <w:t>45–69</w:t>
            </w:r>
          </w:p>
        </w:tc>
        <w:tc>
          <w:tcPr>
            <w:tcW w:w="2246" w:type="dxa"/>
          </w:tcPr>
          <w:p w:rsidR="007C464E" w:rsidRDefault="006B4C16">
            <w:pPr>
              <w:pStyle w:val="TableParagraph"/>
              <w:ind w:left="24" w:right="20"/>
              <w:rPr>
                <w:sz w:val="24"/>
              </w:rPr>
            </w:pPr>
            <w:r>
              <w:rPr>
                <w:spacing w:val="-4"/>
                <w:sz w:val="24"/>
              </w:rPr>
              <w:t>2.12</w:t>
            </w:r>
          </w:p>
        </w:tc>
        <w:tc>
          <w:tcPr>
            <w:tcW w:w="1946" w:type="dxa"/>
          </w:tcPr>
          <w:p w:rsidR="007C464E" w:rsidRDefault="006B4C16">
            <w:pPr>
              <w:pStyle w:val="TableParagraph"/>
              <w:ind w:left="429"/>
              <w:jc w:val="left"/>
              <w:rPr>
                <w:sz w:val="24"/>
              </w:rPr>
            </w:pPr>
            <w:r>
              <w:rPr>
                <w:sz w:val="24"/>
              </w:rPr>
              <w:t xml:space="preserve">1.09 – </w:t>
            </w:r>
            <w:r>
              <w:rPr>
                <w:spacing w:val="-4"/>
                <w:sz w:val="24"/>
              </w:rPr>
              <w:t>4.11</w:t>
            </w:r>
          </w:p>
        </w:tc>
        <w:tc>
          <w:tcPr>
            <w:tcW w:w="1976" w:type="dxa"/>
          </w:tcPr>
          <w:p w:rsidR="007C464E" w:rsidRDefault="006B4C16">
            <w:pPr>
              <w:pStyle w:val="TableParagraph"/>
              <w:ind w:left="64" w:right="61"/>
              <w:rPr>
                <w:sz w:val="24"/>
              </w:rPr>
            </w:pPr>
            <w:r>
              <w:rPr>
                <w:spacing w:val="-2"/>
                <w:sz w:val="24"/>
              </w:rPr>
              <w:t>0.028</w:t>
            </w:r>
          </w:p>
        </w:tc>
      </w:tr>
      <w:tr w:rsidR="007C464E">
        <w:trPr>
          <w:trHeight w:val="380"/>
        </w:trPr>
        <w:tc>
          <w:tcPr>
            <w:tcW w:w="1271" w:type="dxa"/>
            <w:vMerge/>
            <w:tcBorders>
              <w:top w:val="nil"/>
            </w:tcBorders>
          </w:tcPr>
          <w:p w:rsidR="007C464E" w:rsidRDefault="007C464E">
            <w:pPr>
              <w:rPr>
                <w:sz w:val="2"/>
                <w:szCs w:val="2"/>
              </w:rPr>
            </w:pPr>
          </w:p>
        </w:tc>
        <w:tc>
          <w:tcPr>
            <w:tcW w:w="1976" w:type="dxa"/>
          </w:tcPr>
          <w:p w:rsidR="007C464E" w:rsidRDefault="006B4C16">
            <w:pPr>
              <w:pStyle w:val="TableParagraph"/>
              <w:ind w:left="64" w:right="60"/>
              <w:rPr>
                <w:sz w:val="24"/>
              </w:rPr>
            </w:pPr>
            <w:r>
              <w:rPr>
                <w:spacing w:val="-2"/>
                <w:sz w:val="24"/>
              </w:rPr>
              <w:t>30–44</w:t>
            </w:r>
          </w:p>
        </w:tc>
        <w:tc>
          <w:tcPr>
            <w:tcW w:w="2246" w:type="dxa"/>
          </w:tcPr>
          <w:p w:rsidR="007C464E" w:rsidRDefault="006B4C16">
            <w:pPr>
              <w:pStyle w:val="TableParagraph"/>
              <w:ind w:left="24" w:right="20"/>
              <w:rPr>
                <w:sz w:val="24"/>
              </w:rPr>
            </w:pPr>
            <w:r>
              <w:rPr>
                <w:spacing w:val="-4"/>
                <w:sz w:val="24"/>
              </w:rPr>
              <w:t>3.96</w:t>
            </w:r>
          </w:p>
        </w:tc>
        <w:tc>
          <w:tcPr>
            <w:tcW w:w="1946" w:type="dxa"/>
          </w:tcPr>
          <w:p w:rsidR="007C464E" w:rsidRDefault="006B4C16">
            <w:pPr>
              <w:pStyle w:val="TableParagraph"/>
              <w:ind w:left="429"/>
              <w:jc w:val="left"/>
              <w:rPr>
                <w:sz w:val="24"/>
              </w:rPr>
            </w:pPr>
            <w:r>
              <w:rPr>
                <w:sz w:val="24"/>
              </w:rPr>
              <w:t xml:space="preserve">1.85 – </w:t>
            </w:r>
            <w:r>
              <w:rPr>
                <w:spacing w:val="-4"/>
                <w:sz w:val="24"/>
              </w:rPr>
              <w:t>8.48</w:t>
            </w:r>
          </w:p>
        </w:tc>
        <w:tc>
          <w:tcPr>
            <w:tcW w:w="1976" w:type="dxa"/>
          </w:tcPr>
          <w:p w:rsidR="007C464E" w:rsidRDefault="006B4C16">
            <w:pPr>
              <w:pStyle w:val="TableParagraph"/>
              <w:ind w:left="64" w:right="56"/>
              <w:rPr>
                <w:sz w:val="24"/>
              </w:rPr>
            </w:pPr>
            <w:r>
              <w:rPr>
                <w:sz w:val="24"/>
              </w:rPr>
              <w:t>&lt;</w:t>
            </w:r>
            <w:r>
              <w:rPr>
                <w:spacing w:val="-2"/>
                <w:sz w:val="24"/>
              </w:rPr>
              <w:t>0.001</w:t>
            </w:r>
          </w:p>
        </w:tc>
      </w:tr>
      <w:tr w:rsidR="007C464E">
        <w:trPr>
          <w:trHeight w:val="380"/>
        </w:trPr>
        <w:tc>
          <w:tcPr>
            <w:tcW w:w="1271" w:type="dxa"/>
            <w:vMerge/>
            <w:tcBorders>
              <w:top w:val="nil"/>
            </w:tcBorders>
          </w:tcPr>
          <w:p w:rsidR="007C464E" w:rsidRDefault="007C464E">
            <w:pPr>
              <w:rPr>
                <w:sz w:val="2"/>
                <w:szCs w:val="2"/>
              </w:rPr>
            </w:pPr>
          </w:p>
        </w:tc>
        <w:tc>
          <w:tcPr>
            <w:tcW w:w="1976" w:type="dxa"/>
          </w:tcPr>
          <w:p w:rsidR="007C464E" w:rsidRDefault="006B4C16">
            <w:pPr>
              <w:pStyle w:val="TableParagraph"/>
              <w:ind w:left="64" w:right="60"/>
              <w:rPr>
                <w:sz w:val="24"/>
              </w:rPr>
            </w:pPr>
            <w:r>
              <w:rPr>
                <w:spacing w:val="-2"/>
                <w:sz w:val="24"/>
              </w:rPr>
              <w:t>15–29</w:t>
            </w:r>
          </w:p>
        </w:tc>
        <w:tc>
          <w:tcPr>
            <w:tcW w:w="2246" w:type="dxa"/>
          </w:tcPr>
          <w:p w:rsidR="007C464E" w:rsidRDefault="006B4C16">
            <w:pPr>
              <w:pStyle w:val="TableParagraph"/>
              <w:ind w:left="24" w:right="20"/>
              <w:rPr>
                <w:sz w:val="24"/>
              </w:rPr>
            </w:pPr>
            <w:r>
              <w:rPr>
                <w:spacing w:val="-4"/>
                <w:sz w:val="24"/>
              </w:rPr>
              <w:t>4.35</w:t>
            </w:r>
          </w:p>
        </w:tc>
        <w:tc>
          <w:tcPr>
            <w:tcW w:w="1946" w:type="dxa"/>
          </w:tcPr>
          <w:p w:rsidR="007C464E" w:rsidRDefault="006B4C16">
            <w:pPr>
              <w:pStyle w:val="TableParagraph"/>
              <w:ind w:left="369"/>
              <w:jc w:val="left"/>
              <w:rPr>
                <w:sz w:val="24"/>
              </w:rPr>
            </w:pPr>
            <w:r>
              <w:rPr>
                <w:sz w:val="24"/>
              </w:rPr>
              <w:t xml:space="preserve">1.22 – </w:t>
            </w:r>
            <w:r>
              <w:rPr>
                <w:spacing w:val="-2"/>
                <w:sz w:val="24"/>
              </w:rPr>
              <w:t>15.54</w:t>
            </w:r>
          </w:p>
        </w:tc>
        <w:tc>
          <w:tcPr>
            <w:tcW w:w="1976" w:type="dxa"/>
          </w:tcPr>
          <w:p w:rsidR="007C464E" w:rsidRDefault="006B4C16">
            <w:pPr>
              <w:pStyle w:val="TableParagraph"/>
              <w:ind w:left="64" w:right="61"/>
              <w:rPr>
                <w:sz w:val="24"/>
              </w:rPr>
            </w:pPr>
            <w:r>
              <w:rPr>
                <w:spacing w:val="-2"/>
                <w:sz w:val="24"/>
              </w:rPr>
              <w:t>0.023</w:t>
            </w:r>
          </w:p>
        </w:tc>
      </w:tr>
      <w:tr w:rsidR="007C464E">
        <w:trPr>
          <w:trHeight w:val="380"/>
        </w:trPr>
        <w:tc>
          <w:tcPr>
            <w:tcW w:w="3247" w:type="dxa"/>
            <w:gridSpan w:val="2"/>
          </w:tcPr>
          <w:p w:rsidR="007C464E" w:rsidRDefault="006B4C16">
            <w:pPr>
              <w:pStyle w:val="TableParagraph"/>
              <w:ind w:left="30"/>
              <w:jc w:val="left"/>
              <w:rPr>
                <w:sz w:val="24"/>
              </w:rPr>
            </w:pPr>
            <w:r>
              <w:rPr>
                <w:sz w:val="24"/>
              </w:rPr>
              <w:t>Mortalitywithin30</w:t>
            </w:r>
            <w:r>
              <w:rPr>
                <w:spacing w:val="-4"/>
                <w:sz w:val="24"/>
              </w:rPr>
              <w:t>days</w:t>
            </w:r>
          </w:p>
        </w:tc>
        <w:tc>
          <w:tcPr>
            <w:tcW w:w="2246" w:type="dxa"/>
          </w:tcPr>
          <w:p w:rsidR="007C464E" w:rsidRDefault="006B4C16">
            <w:pPr>
              <w:pStyle w:val="TableParagraph"/>
              <w:ind w:left="24" w:right="20"/>
              <w:rPr>
                <w:sz w:val="24"/>
              </w:rPr>
            </w:pPr>
            <w:r>
              <w:rPr>
                <w:spacing w:val="-4"/>
                <w:sz w:val="24"/>
              </w:rPr>
              <w:t>1.12</w:t>
            </w:r>
          </w:p>
        </w:tc>
        <w:tc>
          <w:tcPr>
            <w:tcW w:w="1946" w:type="dxa"/>
          </w:tcPr>
          <w:p w:rsidR="007C464E" w:rsidRDefault="006B4C16">
            <w:pPr>
              <w:pStyle w:val="TableParagraph"/>
              <w:ind w:left="429"/>
              <w:jc w:val="left"/>
              <w:rPr>
                <w:sz w:val="24"/>
              </w:rPr>
            </w:pPr>
            <w:r>
              <w:rPr>
                <w:sz w:val="24"/>
              </w:rPr>
              <w:t xml:space="preserve">0.23 – </w:t>
            </w:r>
            <w:r>
              <w:rPr>
                <w:spacing w:val="-4"/>
                <w:sz w:val="24"/>
              </w:rPr>
              <w:t>5.38</w:t>
            </w:r>
          </w:p>
        </w:tc>
        <w:tc>
          <w:tcPr>
            <w:tcW w:w="1976" w:type="dxa"/>
          </w:tcPr>
          <w:p w:rsidR="007C464E" w:rsidRDefault="006B4C16">
            <w:pPr>
              <w:pStyle w:val="TableParagraph"/>
              <w:ind w:left="64" w:right="61"/>
              <w:rPr>
                <w:sz w:val="24"/>
              </w:rPr>
            </w:pPr>
            <w:r>
              <w:rPr>
                <w:spacing w:val="-4"/>
                <w:sz w:val="24"/>
              </w:rPr>
              <w:t>0.88</w:t>
            </w:r>
          </w:p>
        </w:tc>
      </w:tr>
      <w:tr w:rsidR="007C464E">
        <w:trPr>
          <w:trHeight w:val="380"/>
        </w:trPr>
        <w:tc>
          <w:tcPr>
            <w:tcW w:w="3247" w:type="dxa"/>
            <w:gridSpan w:val="2"/>
          </w:tcPr>
          <w:p w:rsidR="007C464E" w:rsidRDefault="006B4C16">
            <w:pPr>
              <w:pStyle w:val="TableParagraph"/>
              <w:ind w:left="105"/>
              <w:rPr>
                <w:sz w:val="24"/>
              </w:rPr>
            </w:pPr>
            <w:r>
              <w:rPr>
                <w:spacing w:val="-5"/>
                <w:sz w:val="24"/>
              </w:rPr>
              <w:t>Age</w:t>
            </w:r>
          </w:p>
        </w:tc>
        <w:tc>
          <w:tcPr>
            <w:tcW w:w="2246" w:type="dxa"/>
          </w:tcPr>
          <w:p w:rsidR="007C464E" w:rsidRDefault="006B4C16">
            <w:pPr>
              <w:pStyle w:val="TableParagraph"/>
              <w:ind w:left="24" w:right="20"/>
              <w:rPr>
                <w:sz w:val="24"/>
              </w:rPr>
            </w:pPr>
            <w:r>
              <w:rPr>
                <w:spacing w:val="-4"/>
                <w:sz w:val="24"/>
              </w:rPr>
              <w:t>1.04</w:t>
            </w:r>
          </w:p>
        </w:tc>
        <w:tc>
          <w:tcPr>
            <w:tcW w:w="1946" w:type="dxa"/>
          </w:tcPr>
          <w:p w:rsidR="007C464E" w:rsidRDefault="006B4C16">
            <w:pPr>
              <w:pStyle w:val="TableParagraph"/>
              <w:ind w:left="429"/>
              <w:jc w:val="left"/>
              <w:rPr>
                <w:sz w:val="24"/>
              </w:rPr>
            </w:pPr>
            <w:r>
              <w:rPr>
                <w:sz w:val="24"/>
              </w:rPr>
              <w:t xml:space="preserve">1.01 – </w:t>
            </w:r>
            <w:r>
              <w:rPr>
                <w:spacing w:val="-4"/>
                <w:sz w:val="24"/>
              </w:rPr>
              <w:t>1.08</w:t>
            </w:r>
          </w:p>
        </w:tc>
        <w:tc>
          <w:tcPr>
            <w:tcW w:w="1976" w:type="dxa"/>
          </w:tcPr>
          <w:p w:rsidR="007C464E" w:rsidRDefault="006B4C16">
            <w:pPr>
              <w:pStyle w:val="TableParagraph"/>
              <w:ind w:left="64" w:right="61"/>
              <w:rPr>
                <w:sz w:val="24"/>
              </w:rPr>
            </w:pPr>
            <w:r>
              <w:rPr>
                <w:spacing w:val="-2"/>
                <w:sz w:val="24"/>
              </w:rPr>
              <w:t>0.015</w:t>
            </w:r>
          </w:p>
        </w:tc>
      </w:tr>
      <w:tr w:rsidR="007C464E">
        <w:trPr>
          <w:trHeight w:val="380"/>
        </w:trPr>
        <w:tc>
          <w:tcPr>
            <w:tcW w:w="3247" w:type="dxa"/>
            <w:gridSpan w:val="2"/>
          </w:tcPr>
          <w:p w:rsidR="007C464E" w:rsidRDefault="006B4C16">
            <w:pPr>
              <w:pStyle w:val="TableParagraph"/>
              <w:ind w:left="1470"/>
              <w:jc w:val="left"/>
              <w:rPr>
                <w:sz w:val="24"/>
              </w:rPr>
            </w:pPr>
            <w:r>
              <w:rPr>
                <w:sz w:val="24"/>
              </w:rPr>
              <w:t>Male</w:t>
            </w:r>
            <w:r w:rsidR="00750C00">
              <w:rPr>
                <w:sz w:val="24"/>
              </w:rPr>
              <w:t xml:space="preserve"> </w:t>
            </w:r>
            <w:r>
              <w:rPr>
                <w:spacing w:val="-2"/>
                <w:sz w:val="24"/>
              </w:rPr>
              <w:t>Gender</w:t>
            </w:r>
          </w:p>
        </w:tc>
        <w:tc>
          <w:tcPr>
            <w:tcW w:w="2246" w:type="dxa"/>
          </w:tcPr>
          <w:p w:rsidR="007C464E" w:rsidRDefault="006B4C16">
            <w:pPr>
              <w:pStyle w:val="TableParagraph"/>
              <w:ind w:left="24" w:right="20"/>
              <w:rPr>
                <w:sz w:val="24"/>
              </w:rPr>
            </w:pPr>
            <w:r>
              <w:rPr>
                <w:spacing w:val="-4"/>
                <w:sz w:val="24"/>
              </w:rPr>
              <w:t>1.68</w:t>
            </w:r>
          </w:p>
        </w:tc>
        <w:tc>
          <w:tcPr>
            <w:tcW w:w="1946" w:type="dxa"/>
          </w:tcPr>
          <w:p w:rsidR="007C464E" w:rsidRDefault="006B4C16">
            <w:pPr>
              <w:pStyle w:val="TableParagraph"/>
              <w:ind w:left="429"/>
              <w:jc w:val="left"/>
              <w:rPr>
                <w:sz w:val="24"/>
              </w:rPr>
            </w:pPr>
            <w:r>
              <w:rPr>
                <w:sz w:val="24"/>
              </w:rPr>
              <w:t xml:space="preserve">0.88 – </w:t>
            </w:r>
            <w:r>
              <w:rPr>
                <w:spacing w:val="-4"/>
                <w:sz w:val="24"/>
              </w:rPr>
              <w:t>3.19</w:t>
            </w:r>
          </w:p>
        </w:tc>
        <w:tc>
          <w:tcPr>
            <w:tcW w:w="1976" w:type="dxa"/>
          </w:tcPr>
          <w:p w:rsidR="007C464E" w:rsidRDefault="006B4C16">
            <w:pPr>
              <w:pStyle w:val="TableParagraph"/>
              <w:ind w:left="64" w:right="61"/>
              <w:rPr>
                <w:sz w:val="24"/>
              </w:rPr>
            </w:pPr>
            <w:r>
              <w:rPr>
                <w:spacing w:val="-2"/>
                <w:sz w:val="24"/>
              </w:rPr>
              <w:t>0.112</w:t>
            </w:r>
          </w:p>
        </w:tc>
      </w:tr>
      <w:tr w:rsidR="007C464E">
        <w:trPr>
          <w:trHeight w:val="380"/>
        </w:trPr>
        <w:tc>
          <w:tcPr>
            <w:tcW w:w="3247" w:type="dxa"/>
            <w:gridSpan w:val="2"/>
          </w:tcPr>
          <w:p w:rsidR="007C464E" w:rsidRDefault="006B4C16">
            <w:pPr>
              <w:pStyle w:val="TableParagraph"/>
              <w:ind w:left="1470"/>
              <w:jc w:val="left"/>
              <w:rPr>
                <w:sz w:val="24"/>
              </w:rPr>
            </w:pPr>
            <w:r>
              <w:rPr>
                <w:spacing w:val="-2"/>
                <w:sz w:val="24"/>
              </w:rPr>
              <w:t>Hypertension</w:t>
            </w:r>
          </w:p>
        </w:tc>
        <w:tc>
          <w:tcPr>
            <w:tcW w:w="2246" w:type="dxa"/>
          </w:tcPr>
          <w:p w:rsidR="007C464E" w:rsidRDefault="006B4C16">
            <w:pPr>
              <w:pStyle w:val="TableParagraph"/>
              <w:ind w:left="24" w:right="20"/>
              <w:rPr>
                <w:sz w:val="24"/>
              </w:rPr>
            </w:pPr>
            <w:r>
              <w:rPr>
                <w:spacing w:val="-4"/>
                <w:sz w:val="24"/>
              </w:rPr>
              <w:t>2.15</w:t>
            </w:r>
          </w:p>
        </w:tc>
        <w:tc>
          <w:tcPr>
            <w:tcW w:w="1946" w:type="dxa"/>
          </w:tcPr>
          <w:p w:rsidR="007C464E" w:rsidRDefault="006B4C16">
            <w:pPr>
              <w:pStyle w:val="TableParagraph"/>
              <w:ind w:left="429"/>
              <w:jc w:val="left"/>
              <w:rPr>
                <w:sz w:val="24"/>
              </w:rPr>
            </w:pPr>
            <w:r>
              <w:rPr>
                <w:sz w:val="24"/>
              </w:rPr>
              <w:t xml:space="preserve">1.13 – </w:t>
            </w:r>
            <w:r>
              <w:rPr>
                <w:spacing w:val="-4"/>
                <w:sz w:val="24"/>
              </w:rPr>
              <w:t>4.09</w:t>
            </w:r>
          </w:p>
        </w:tc>
        <w:tc>
          <w:tcPr>
            <w:tcW w:w="1976" w:type="dxa"/>
          </w:tcPr>
          <w:p w:rsidR="007C464E" w:rsidRDefault="006B4C16">
            <w:pPr>
              <w:pStyle w:val="TableParagraph"/>
              <w:ind w:left="64" w:right="61"/>
              <w:rPr>
                <w:sz w:val="24"/>
              </w:rPr>
            </w:pPr>
            <w:r>
              <w:rPr>
                <w:spacing w:val="-2"/>
                <w:sz w:val="24"/>
              </w:rPr>
              <w:t>0.020</w:t>
            </w:r>
          </w:p>
        </w:tc>
      </w:tr>
      <w:tr w:rsidR="007C464E">
        <w:trPr>
          <w:trHeight w:val="380"/>
        </w:trPr>
        <w:tc>
          <w:tcPr>
            <w:tcW w:w="3247" w:type="dxa"/>
            <w:gridSpan w:val="2"/>
          </w:tcPr>
          <w:p w:rsidR="007C464E" w:rsidRDefault="006B4C16">
            <w:pPr>
              <w:pStyle w:val="TableParagraph"/>
              <w:ind w:left="1470"/>
              <w:jc w:val="left"/>
              <w:rPr>
                <w:sz w:val="24"/>
              </w:rPr>
            </w:pPr>
            <w:r>
              <w:rPr>
                <w:spacing w:val="-2"/>
                <w:sz w:val="24"/>
              </w:rPr>
              <w:t>Diabetes</w:t>
            </w:r>
          </w:p>
        </w:tc>
        <w:tc>
          <w:tcPr>
            <w:tcW w:w="2246" w:type="dxa"/>
          </w:tcPr>
          <w:p w:rsidR="007C464E" w:rsidRDefault="006B4C16">
            <w:pPr>
              <w:pStyle w:val="TableParagraph"/>
              <w:ind w:left="24" w:right="20"/>
              <w:rPr>
                <w:sz w:val="24"/>
              </w:rPr>
            </w:pPr>
            <w:r>
              <w:rPr>
                <w:spacing w:val="-4"/>
                <w:sz w:val="24"/>
              </w:rPr>
              <w:t>1.93</w:t>
            </w:r>
          </w:p>
        </w:tc>
        <w:tc>
          <w:tcPr>
            <w:tcW w:w="1946" w:type="dxa"/>
          </w:tcPr>
          <w:p w:rsidR="007C464E" w:rsidRDefault="006B4C16">
            <w:pPr>
              <w:pStyle w:val="TableParagraph"/>
              <w:ind w:left="429"/>
              <w:jc w:val="left"/>
              <w:rPr>
                <w:sz w:val="24"/>
              </w:rPr>
            </w:pPr>
            <w:r>
              <w:rPr>
                <w:sz w:val="24"/>
              </w:rPr>
              <w:t xml:space="preserve">1.02 – </w:t>
            </w:r>
            <w:r>
              <w:rPr>
                <w:spacing w:val="-4"/>
                <w:sz w:val="24"/>
              </w:rPr>
              <w:t>3.67</w:t>
            </w:r>
          </w:p>
        </w:tc>
        <w:tc>
          <w:tcPr>
            <w:tcW w:w="1976" w:type="dxa"/>
          </w:tcPr>
          <w:p w:rsidR="007C464E" w:rsidRDefault="006B4C16">
            <w:pPr>
              <w:pStyle w:val="TableParagraph"/>
              <w:ind w:left="64" w:right="61"/>
              <w:rPr>
                <w:sz w:val="24"/>
              </w:rPr>
            </w:pPr>
            <w:r>
              <w:rPr>
                <w:spacing w:val="-2"/>
                <w:sz w:val="24"/>
              </w:rPr>
              <w:t>0.043</w:t>
            </w:r>
          </w:p>
        </w:tc>
      </w:tr>
    </w:tbl>
    <w:p w:rsidR="007C464E" w:rsidRDefault="007C464E">
      <w:pPr>
        <w:pStyle w:val="BodyText"/>
        <w:spacing w:before="241"/>
        <w:ind w:left="0"/>
        <w:rPr>
          <w:b/>
        </w:rPr>
      </w:pPr>
    </w:p>
    <w:p w:rsidR="007C464E" w:rsidRDefault="006B4C16">
      <w:pPr>
        <w:pStyle w:val="BodyText"/>
        <w:spacing w:line="480" w:lineRule="auto"/>
        <w:ind w:right="358"/>
        <w:jc w:val="both"/>
        <w:rPr>
          <w:b/>
        </w:rPr>
      </w:pPr>
      <w:r>
        <w:t>Increasing age</w:t>
      </w:r>
      <w:r w:rsidR="00750C00">
        <w:t xml:space="preserve"> </w:t>
      </w:r>
      <w:r>
        <w:t>is</w:t>
      </w:r>
      <w:r w:rsidR="00750C00">
        <w:t xml:space="preserve"> </w:t>
      </w:r>
      <w:r>
        <w:t>an</w:t>
      </w:r>
      <w:r w:rsidR="00750C00">
        <w:t xml:space="preserve"> </w:t>
      </w:r>
      <w:r>
        <w:t>independent</w:t>
      </w:r>
      <w:r w:rsidR="00750C00">
        <w:t xml:space="preserve"> </w:t>
      </w:r>
      <w:r>
        <w:t>predictor, with each additional</w:t>
      </w:r>
      <w:r w:rsidR="00750C00">
        <w:t xml:space="preserve"> </w:t>
      </w:r>
      <w:r>
        <w:t>year raising the</w:t>
      </w:r>
      <w:r w:rsidR="00750C00">
        <w:t xml:space="preserve"> </w:t>
      </w:r>
      <w:r>
        <w:t>odds</w:t>
      </w:r>
      <w:r w:rsidR="00750C00">
        <w:t xml:space="preserve"> </w:t>
      </w:r>
      <w:r>
        <w:t>of slow/no- flow by about 4%. Hypertension doubled the likelihood of developing no-reflow p-value 0.020. Male gender and 30-day mortality were not statistically significant predictors</w:t>
      </w:r>
      <w:proofErr w:type="gramStart"/>
      <w:r>
        <w:t>.</w:t>
      </w:r>
      <w:r>
        <w:rPr>
          <w:b/>
        </w:rPr>
        <w:t>(</w:t>
      </w:r>
      <w:proofErr w:type="gramEnd"/>
      <w:r>
        <w:rPr>
          <w:b/>
        </w:rPr>
        <w:t>Table 4)</w:t>
      </w:r>
    </w:p>
    <w:p w:rsidR="007C464E" w:rsidRDefault="006B4C16">
      <w:pPr>
        <w:pStyle w:val="Heading1"/>
        <w:spacing w:before="200"/>
        <w:jc w:val="both"/>
      </w:pPr>
      <w:r>
        <w:t>Graph</w:t>
      </w:r>
      <w:r>
        <w:rPr>
          <w:spacing w:val="-5"/>
        </w:rPr>
        <w:t xml:space="preserve"> 1:</w:t>
      </w:r>
    </w:p>
    <w:p w:rsidR="007C464E" w:rsidRDefault="007C464E">
      <w:pPr>
        <w:pStyle w:val="Heading1"/>
        <w:jc w:val="both"/>
        <w:sectPr w:rsidR="007C464E">
          <w:pgSz w:w="12240" w:h="15840"/>
          <w:pgMar w:top="1300" w:right="1080" w:bottom="280" w:left="1080" w:header="720" w:footer="720" w:gutter="0"/>
          <w:cols w:space="720"/>
        </w:sectPr>
      </w:pPr>
    </w:p>
    <w:p w:rsidR="007C464E" w:rsidRDefault="006B4C16">
      <w:pPr>
        <w:pStyle w:val="BodyText"/>
        <w:ind w:left="468"/>
        <w:rPr>
          <w:sz w:val="20"/>
        </w:rPr>
      </w:pPr>
      <w:r>
        <w:rPr>
          <w:noProof/>
          <w:sz w:val="20"/>
          <w:lang w:val="en-GB" w:eastAsia="en-GB"/>
        </w:rPr>
        <w:lastRenderedPageBreak/>
        <w:drawing>
          <wp:inline distT="0" distB="0" distL="0" distR="0">
            <wp:extent cx="5566263" cy="326478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566263" cy="3264789"/>
                    </a:xfrm>
                    <a:prstGeom prst="rect">
                      <a:avLst/>
                    </a:prstGeom>
                  </pic:spPr>
                </pic:pic>
              </a:graphicData>
            </a:graphic>
          </wp:inline>
        </w:drawing>
      </w:r>
    </w:p>
    <w:p w:rsidR="007C464E" w:rsidRDefault="007C464E">
      <w:pPr>
        <w:pStyle w:val="BodyText"/>
        <w:ind w:left="0"/>
        <w:rPr>
          <w:b/>
        </w:rPr>
      </w:pPr>
    </w:p>
    <w:p w:rsidR="007C464E" w:rsidRDefault="007C464E">
      <w:pPr>
        <w:pStyle w:val="BodyText"/>
        <w:ind w:left="0"/>
        <w:rPr>
          <w:b/>
        </w:rPr>
      </w:pPr>
    </w:p>
    <w:p w:rsidR="007C464E" w:rsidRDefault="007C464E">
      <w:pPr>
        <w:pStyle w:val="BodyText"/>
        <w:spacing w:before="43"/>
        <w:ind w:left="0"/>
        <w:rPr>
          <w:b/>
        </w:rPr>
      </w:pPr>
    </w:p>
    <w:p w:rsidR="007C464E" w:rsidRDefault="006B4C16">
      <w:pPr>
        <w:ind w:left="360"/>
        <w:rPr>
          <w:b/>
          <w:sz w:val="24"/>
        </w:rPr>
      </w:pPr>
      <w:bookmarkStart w:id="1" w:name="Discussion"/>
      <w:bookmarkEnd w:id="1"/>
      <w:r>
        <w:rPr>
          <w:b/>
          <w:spacing w:val="-2"/>
          <w:sz w:val="24"/>
        </w:rPr>
        <w:t>Discussion</w:t>
      </w:r>
    </w:p>
    <w:p w:rsidR="007C464E" w:rsidRDefault="007C464E">
      <w:pPr>
        <w:pStyle w:val="BodyText"/>
        <w:spacing w:before="148"/>
        <w:ind w:left="0"/>
        <w:rPr>
          <w:b/>
        </w:rPr>
      </w:pPr>
    </w:p>
    <w:p w:rsidR="007C464E" w:rsidRDefault="006B4C16">
      <w:pPr>
        <w:pStyle w:val="BodyText"/>
        <w:spacing w:line="364" w:lineRule="auto"/>
        <w:ind w:right="357"/>
        <w:jc w:val="both"/>
      </w:pPr>
      <w:r>
        <w:t>This study demonstrates that renal dysfunction, even in early stages, significantly increases the risk of SF/NR in STEMI patients undergoing PCI. The findings of the current study explore a confluence of clinical, procedural, and laboratory factors.</w:t>
      </w:r>
    </w:p>
    <w:p w:rsidR="007C464E" w:rsidRDefault="006B4C16">
      <w:pPr>
        <w:pStyle w:val="BodyText"/>
        <w:spacing w:before="242" w:line="364" w:lineRule="auto"/>
        <w:ind w:right="355"/>
        <w:jc w:val="both"/>
      </w:pPr>
      <w:r>
        <w:t>The current study consisted of 227 participants with a mean age of 56.12 years (Standard Deviation ±9.24), with ages ranging widely from 33 to 80 years. Advanced age, diabetes</w:t>
      </w:r>
      <w:r w:rsidR="00750C00">
        <w:t xml:space="preserve"> </w:t>
      </w:r>
      <w:r>
        <w:t>mellitus, prolonged ischemic time, conduction a</w:t>
      </w:r>
      <w:r w:rsidR="008F4B65">
        <w:t xml:space="preserve">bnormalities, and most </w:t>
      </w:r>
      <w:r>
        <w:t>significantly renal dysfunction were found to be as independent predictors of impaired myocardial reperfusion.</w:t>
      </w:r>
    </w:p>
    <w:p w:rsidR="007C464E" w:rsidRDefault="006B4C16">
      <w:pPr>
        <w:pStyle w:val="BodyText"/>
        <w:spacing w:before="98" w:line="480" w:lineRule="auto"/>
        <w:ind w:right="348"/>
        <w:jc w:val="both"/>
      </w:pPr>
      <w:r>
        <w:t>Our data firmly establishes that patients experiencing slow/no-reflow possess a distinct clinical phenotype characterized by advanced age, male gender, and a significant burden of cardiovascular risk factors, including hypertension, diabetes, and smoking. The findings of the current study showed that the mean age of patients was 56.1±9.2, and male 154(68.0%), the SF/NR group in hypertension 6(37.5%)</w:t>
      </w:r>
      <w:r w:rsidR="00750C00">
        <w:t xml:space="preserve"> </w:t>
      </w:r>
      <w:r>
        <w:t>vs. 97(46.0%), p=0.698, DM [96(45.5%</w:t>
      </w:r>
      <w:proofErr w:type="gramStart"/>
      <w:r>
        <w:t>)vs</w:t>
      </w:r>
      <w:proofErr w:type="gramEnd"/>
      <w:r>
        <w:t>. 8(50.0%) p=0.925), and smoking [112(53.1%)vs. 11(69.0%), p=0.342). They experienced a delay in the initial treatment, with a pain duration of 3.1 ± 2.7 hours compared to 2.7 ± 1.5 hours in the TIMI</w:t>
      </w:r>
    </w:p>
    <w:p w:rsidR="007C464E" w:rsidRDefault="007C464E">
      <w:pPr>
        <w:pStyle w:val="BodyText"/>
        <w:spacing w:line="480" w:lineRule="auto"/>
        <w:jc w:val="both"/>
        <w:sectPr w:rsidR="007C464E">
          <w:pgSz w:w="12240" w:h="15840"/>
          <w:pgMar w:top="940" w:right="1080" w:bottom="280" w:left="1080" w:header="720" w:footer="720" w:gutter="0"/>
          <w:cols w:space="720"/>
        </w:sectPr>
      </w:pPr>
    </w:p>
    <w:p w:rsidR="007C464E" w:rsidRDefault="006B4C16">
      <w:pPr>
        <w:pStyle w:val="BodyText"/>
        <w:spacing w:before="71" w:line="480" w:lineRule="auto"/>
        <w:ind w:right="367"/>
        <w:jc w:val="both"/>
      </w:pPr>
      <w:r>
        <w:lastRenderedPageBreak/>
        <w:t>3 group (p=0.001). In contrast, factors such as family history of IHD, atrial fibrillation, complete AV</w:t>
      </w:r>
      <w:r w:rsidR="00750C00">
        <w:t xml:space="preserve"> </w:t>
      </w:r>
      <w:r>
        <w:t>block,</w:t>
      </w:r>
      <w:r w:rsidR="00750C00">
        <w:t xml:space="preserve"> </w:t>
      </w:r>
      <w:r>
        <w:t>and</w:t>
      </w:r>
      <w:r w:rsidR="00750C00">
        <w:t xml:space="preserve"> </w:t>
      </w:r>
      <w:r>
        <w:t>heart</w:t>
      </w:r>
      <w:r w:rsidR="00750C00">
        <w:t xml:space="preserve"> </w:t>
      </w:r>
      <w:r>
        <w:t>failure</w:t>
      </w:r>
      <w:r w:rsidR="00750C00">
        <w:t xml:space="preserve"> </w:t>
      </w:r>
      <w:r>
        <w:t>at</w:t>
      </w:r>
      <w:r w:rsidR="00750C00">
        <w:t xml:space="preserve"> </w:t>
      </w:r>
      <w:r>
        <w:t>admission</w:t>
      </w:r>
      <w:r w:rsidR="00750C00">
        <w:t xml:space="preserve"> </w:t>
      </w:r>
      <w:r>
        <w:t>showed</w:t>
      </w:r>
      <w:r w:rsidR="00750C00">
        <w:t xml:space="preserve"> </w:t>
      </w:r>
      <w:r>
        <w:t>statistically</w:t>
      </w:r>
      <w:r w:rsidR="00750C00">
        <w:t xml:space="preserve"> </w:t>
      </w:r>
      <w:r>
        <w:t>significant</w:t>
      </w:r>
      <w:r w:rsidR="00750C00">
        <w:t xml:space="preserve"> </w:t>
      </w:r>
      <w:r>
        <w:t>differences,</w:t>
      </w:r>
      <w:r w:rsidR="00750C00">
        <w:t xml:space="preserve"> </w:t>
      </w:r>
      <w:r>
        <w:t>highlighting that specific risk factors and treatment timing are most strongly linked to this adverse outcome.</w:t>
      </w:r>
    </w:p>
    <w:p w:rsidR="007C464E" w:rsidRDefault="007C464E">
      <w:pPr>
        <w:pStyle w:val="BodyText"/>
        <w:spacing w:before="4"/>
        <w:ind w:left="0"/>
      </w:pPr>
    </w:p>
    <w:p w:rsidR="007C464E" w:rsidRDefault="006B4C16">
      <w:pPr>
        <w:pStyle w:val="BodyText"/>
        <w:spacing w:line="480" w:lineRule="auto"/>
        <w:ind w:right="357"/>
        <w:jc w:val="both"/>
      </w:pPr>
      <w:r>
        <w:t xml:space="preserve">The research conducted by </w:t>
      </w:r>
      <w:proofErr w:type="spellStart"/>
      <w:r>
        <w:t>Savic</w:t>
      </w:r>
      <w:proofErr w:type="spellEnd"/>
      <w:r>
        <w:t xml:space="preserve"> </w:t>
      </w:r>
      <w:proofErr w:type="gramStart"/>
      <w:r>
        <w:t>et</w:t>
      </w:r>
      <w:proofErr w:type="gramEnd"/>
      <w:r>
        <w:t xml:space="preserve">. </w:t>
      </w:r>
      <w:proofErr w:type="gramStart"/>
      <w:r>
        <w:t>al,</w:t>
      </w:r>
      <w:proofErr w:type="gramEnd"/>
      <w:r>
        <w:rPr>
          <w:vertAlign w:val="superscript"/>
        </w:rPr>
        <w:t>16</w:t>
      </w:r>
      <w:r>
        <w:t xml:space="preserve"> showed that they analyzed 3,115 consecutive patients. The median age of their participants was 60 and 65 years in TIMI 3 and slow/ no-reflow group. The duration of pain, A.</w:t>
      </w:r>
      <w:r w:rsidR="00750C00">
        <w:t xml:space="preserve"> </w:t>
      </w:r>
      <w:r>
        <w:t>Fib at the time of admission, complete heart block, and heart failure showed statistically significant differences found among two research groups with a significant</w:t>
      </w:r>
      <w:r w:rsidR="00750C00">
        <w:t xml:space="preserve"> </w:t>
      </w:r>
      <w:r>
        <w:t>p-value as &lt; 0.05.</w:t>
      </w:r>
    </w:p>
    <w:p w:rsidR="007C464E" w:rsidRDefault="006B4C16">
      <w:pPr>
        <w:pStyle w:val="BodyText"/>
        <w:spacing w:before="241" w:line="480" w:lineRule="auto"/>
        <w:ind w:right="354"/>
        <w:jc w:val="both"/>
      </w:pPr>
      <w:r>
        <w:t>The research findings of current study showed that procedural and laboratory factors have significant associations with the slow/no-reflow. While the culprit vessel did not have a statistically significant difference a p-value 0.908. Tot</w:t>
      </w:r>
      <w:r w:rsidR="005D2D32">
        <w:t>al 168(79.6%) patients of TIMI-</w:t>
      </w:r>
      <w:r>
        <w:t xml:space="preserve">3 group compared with SF/NR group 9(56.3%) stented with </w:t>
      </w:r>
      <w:proofErr w:type="spellStart"/>
      <w:proofErr w:type="gramStart"/>
      <w:r>
        <w:t>a</w:t>
      </w:r>
      <w:proofErr w:type="spellEnd"/>
      <w:proofErr w:type="gramEnd"/>
      <w:r>
        <w:t xml:space="preserve"> insignificant p-value 0.075, rest of the patients</w:t>
      </w:r>
      <w:r w:rsidR="005D2D32">
        <w:t xml:space="preserve"> </w:t>
      </w:r>
      <w:r>
        <w:t>were treated</w:t>
      </w:r>
      <w:r w:rsidR="005D2D32">
        <w:t xml:space="preserve"> </w:t>
      </w:r>
      <w:r>
        <w:t>with</w:t>
      </w:r>
      <w:r w:rsidR="005D2D32">
        <w:t xml:space="preserve"> </w:t>
      </w:r>
      <w:r>
        <w:t>balloon technique. Stent size</w:t>
      </w:r>
      <w:r w:rsidR="00750C00">
        <w:t xml:space="preserve"> </w:t>
      </w:r>
      <w:r>
        <w:t>(length and</w:t>
      </w:r>
      <w:r w:rsidR="00750C00">
        <w:t xml:space="preserve"> </w:t>
      </w:r>
      <w:r>
        <w:t>diameter</w:t>
      </w:r>
      <w:proofErr w:type="gramStart"/>
      <w:r>
        <w:t xml:space="preserve">) </w:t>
      </w:r>
      <w:r w:rsidR="0055446A">
        <w:t xml:space="preserve"> was</w:t>
      </w:r>
      <w:proofErr w:type="gramEnd"/>
      <w:r w:rsidR="0055446A">
        <w:t xml:space="preserve"> </w:t>
      </w:r>
      <w:r>
        <w:t>also</w:t>
      </w:r>
      <w:r w:rsidR="0055446A">
        <w:t xml:space="preserve"> </w:t>
      </w:r>
      <w:r>
        <w:t>noted(24±1.0 mm vs 25±2.0 mm, p=0.001) and (3.28±1.1 mm vs 3.1±1.4 mm, p=0.039). Furthermore, a pre- procedural total blockage (TIMI 0 flow) was more common in TIMI-3 group compared with the slow/no-reflow group (71.6% vs. 62.5%, p=0.610). Biochemically, this group also had significantly</w:t>
      </w:r>
      <w:r w:rsidR="00750C00">
        <w:t xml:space="preserve"> </w:t>
      </w:r>
      <w:r>
        <w:t>higher</w:t>
      </w:r>
      <w:r w:rsidR="00750C00">
        <w:t xml:space="preserve"> </w:t>
      </w:r>
      <w:r>
        <w:t>initial</w:t>
      </w:r>
      <w:r w:rsidR="00750C00">
        <w:t xml:space="preserve"> </w:t>
      </w:r>
      <w:r>
        <w:t>creatinine</w:t>
      </w:r>
      <w:r w:rsidR="00750C00">
        <w:t xml:space="preserve"> </w:t>
      </w:r>
      <w:r>
        <w:t>levels (90.8±0.8µmol/L</w:t>
      </w:r>
      <w:r w:rsidR="00750C00">
        <w:t xml:space="preserve"> </w:t>
      </w:r>
      <w:r>
        <w:t>vs.</w:t>
      </w:r>
      <w:r w:rsidR="00750C00">
        <w:t xml:space="preserve"> </w:t>
      </w:r>
      <w:r>
        <w:t>84.5±2.9µmol/L,</w:t>
      </w:r>
      <w:r w:rsidR="00750C00">
        <w:t xml:space="preserve"> </w:t>
      </w:r>
      <w:r>
        <w:t>p=0.001)</w:t>
      </w:r>
      <w:r w:rsidR="00750C00">
        <w:t xml:space="preserve"> </w:t>
      </w:r>
      <w:r>
        <w:t>and hemoglobin (14.5±2.5 g/L vs. 13.9±1.8 g/L, p=0.044), and a notably lower Troponin I level (34.8±1.4 µg/L vs. 36.7±0.3 µg/L, p=0.001).</w:t>
      </w:r>
    </w:p>
    <w:p w:rsidR="007C464E" w:rsidRDefault="006B4C16">
      <w:pPr>
        <w:pStyle w:val="BodyText"/>
        <w:spacing w:before="246" w:line="480" w:lineRule="auto"/>
        <w:ind w:right="356"/>
        <w:jc w:val="both"/>
      </w:pPr>
      <w:r>
        <w:t xml:space="preserve">Perhaps the most compelling findings relate to laboratory markers. The strong, graded inverse relationship between </w:t>
      </w:r>
      <w:proofErr w:type="spellStart"/>
      <w:r>
        <w:t>eGFR</w:t>
      </w:r>
      <w:proofErr w:type="spellEnd"/>
      <w:r>
        <w:t xml:space="preserve"> and the incidence of SF/NR, supported by significantly higher level of creatinine on admission, highlights kidney disease as a paramount risk factor. CKD is a state of accelerated atherosclerosis, chronic inflammation, and uremic endothelial dysfunction, all of which</w:t>
      </w:r>
      <w:r w:rsidR="00750C00">
        <w:t xml:space="preserve"> </w:t>
      </w:r>
      <w:r>
        <w:t>severely</w:t>
      </w:r>
      <w:r w:rsidR="00750C00">
        <w:t xml:space="preserve"> </w:t>
      </w:r>
      <w:r>
        <w:t>compromise</w:t>
      </w:r>
      <w:r w:rsidR="00750C00">
        <w:t xml:space="preserve"> </w:t>
      </w:r>
      <w:r>
        <w:t>microvascular</w:t>
      </w:r>
      <w:r w:rsidR="00750C00">
        <w:t xml:space="preserve"> </w:t>
      </w:r>
      <w:r>
        <w:t>auto</w:t>
      </w:r>
      <w:r w:rsidR="00750C00">
        <w:t xml:space="preserve"> </w:t>
      </w:r>
      <w:r>
        <w:t>regulation</w:t>
      </w:r>
      <w:r w:rsidR="00750C00">
        <w:t xml:space="preserve"> </w:t>
      </w:r>
      <w:r>
        <w:t>and</w:t>
      </w:r>
      <w:r w:rsidR="00750C00">
        <w:t xml:space="preserve"> </w:t>
      </w:r>
      <w:r>
        <w:t>repaircapacity.</w:t>
      </w:r>
      <w:r>
        <w:rPr>
          <w:vertAlign w:val="superscript"/>
        </w:rPr>
        <w:t>17-18</w:t>
      </w:r>
      <w:r w:rsidR="00750C00">
        <w:rPr>
          <w:vertAlign w:val="superscript"/>
        </w:rPr>
        <w:t xml:space="preserve"> </w:t>
      </w:r>
      <w:proofErr w:type="gramStart"/>
      <w:r>
        <w:t>The</w:t>
      </w:r>
      <w:proofErr w:type="gramEnd"/>
      <w:r w:rsidR="00750C00">
        <w:t xml:space="preserve"> </w:t>
      </w:r>
      <w:r>
        <w:rPr>
          <w:spacing w:val="-2"/>
        </w:rPr>
        <w:t>finding</w:t>
      </w:r>
    </w:p>
    <w:p w:rsidR="007C464E" w:rsidRDefault="007C464E">
      <w:pPr>
        <w:pStyle w:val="BodyText"/>
        <w:spacing w:line="480" w:lineRule="auto"/>
        <w:jc w:val="both"/>
        <w:sectPr w:rsidR="007C464E">
          <w:pgSz w:w="12240" w:h="15840"/>
          <w:pgMar w:top="780" w:right="1080" w:bottom="280" w:left="1080" w:header="720" w:footer="720" w:gutter="0"/>
          <w:cols w:space="720"/>
        </w:sectPr>
      </w:pPr>
    </w:p>
    <w:p w:rsidR="007C464E" w:rsidRDefault="006B4C16">
      <w:pPr>
        <w:pStyle w:val="BodyText"/>
        <w:spacing w:before="71" w:line="480" w:lineRule="auto"/>
        <w:ind w:right="356"/>
        <w:jc w:val="both"/>
      </w:pPr>
      <w:r>
        <w:lastRenderedPageBreak/>
        <w:t xml:space="preserve">of higher hemoglobin levels, while potentially multifactorial, may </w:t>
      </w:r>
      <w:r w:rsidR="00CA297B">
        <w:t xml:space="preserve">indicate a role of </w:t>
      </w:r>
      <w:r>
        <w:t xml:space="preserve"> increased blood viscosity </w:t>
      </w:r>
      <w:r w:rsidR="00CA297B">
        <w:t xml:space="preserve"> which </w:t>
      </w:r>
      <w:r>
        <w:t>can impede flow at the capillary level, particularly in a compromised microcirculation.</w:t>
      </w:r>
      <w:r>
        <w:rPr>
          <w:vertAlign w:val="superscript"/>
        </w:rPr>
        <w:t>19</w:t>
      </w:r>
      <w:r>
        <w:t xml:space="preserve"> The lower Troponin I level in the slow/no-reflow group </w:t>
      </w:r>
      <w:r w:rsidR="00CA297B">
        <w:t xml:space="preserve">is  against the expectation </w:t>
      </w:r>
      <w:r>
        <w:t>but may be explained by the "washout" phenomenon; impaired microvascular fl</w:t>
      </w:r>
      <w:r w:rsidR="00CA297B">
        <w:t>ow prevents the efficient release</w:t>
      </w:r>
      <w:r>
        <w:t xml:space="preserve"> of the biomarker from the myocardial tissue into the systemic circulation, leading to a falsely lower measured value initially.</w:t>
      </w:r>
      <w:r>
        <w:rPr>
          <w:vertAlign w:val="superscript"/>
        </w:rPr>
        <w:t>20</w:t>
      </w:r>
    </w:p>
    <w:p w:rsidR="007C464E" w:rsidRDefault="007C464E">
      <w:pPr>
        <w:pStyle w:val="BodyText"/>
        <w:spacing w:before="8"/>
        <w:ind w:left="0"/>
      </w:pPr>
    </w:p>
    <w:p w:rsidR="007C464E" w:rsidRDefault="006B4C16">
      <w:pPr>
        <w:pStyle w:val="BodyText"/>
        <w:spacing w:before="1" w:line="480" w:lineRule="auto"/>
        <w:ind w:right="348"/>
        <w:jc w:val="both"/>
      </w:pPr>
      <w:r>
        <w:t xml:space="preserve">Renal function parameters demonstrated a strong association with post-procedural TIMI flow outcomes. Patients with TIMI 3 flow had a significantly higher mean </w:t>
      </w:r>
      <w:proofErr w:type="spellStart"/>
      <w:r>
        <w:t>eGFR</w:t>
      </w:r>
      <w:proofErr w:type="spellEnd"/>
      <w:r>
        <w:t xml:space="preserve"> compared to those with slow-flow/no-reflow (89.6 vs. 76.5 ml/min/1.73m², </w:t>
      </w:r>
      <w:r>
        <w:rPr>
          <w:i/>
        </w:rPr>
        <w:t>p=0.001</w:t>
      </w:r>
      <w:r>
        <w:t xml:space="preserve">). When stratified into </w:t>
      </w:r>
      <w:proofErr w:type="spellStart"/>
      <w:r>
        <w:t>eGFR</w:t>
      </w:r>
      <w:proofErr w:type="spellEnd"/>
      <w:r>
        <w:t xml:space="preserve"> categories, preserved kidney function (≥90 ml/min/1.73m²) was much more common among patients with TIMI 3 flow (58.3% vs. 31.3%). Conversely, mild to moderate renal dysfunction (60–89 ml/min/1.73m²) was represented in the slow-flow/no-reflow group [36 (17.1%) vs. 4(25.0%). Moderate to severe renal impairment was observed in s</w:t>
      </w:r>
      <w:r w:rsidR="00CA297B">
        <w:t xml:space="preserve">maller numbers but was also more </w:t>
      </w:r>
      <w:r>
        <w:t>frequent in the SF/NR group. These findings clearly demonstrate that declining renal function, even in the early stages, is a powerful predictor of microvascular dysfunction and poor reperfusion following primary PCI. Only one mortality within 30 days after procedure observed in group (slow / no reflow) with a statistically insignificant p-value</w:t>
      </w:r>
    </w:p>
    <w:p w:rsidR="007C464E" w:rsidRDefault="007C464E">
      <w:pPr>
        <w:pStyle w:val="BodyText"/>
        <w:spacing w:before="4"/>
        <w:ind w:left="0"/>
      </w:pPr>
    </w:p>
    <w:p w:rsidR="007C464E" w:rsidRDefault="006B4C16">
      <w:pPr>
        <w:pStyle w:val="BodyText"/>
        <w:spacing w:line="480" w:lineRule="auto"/>
        <w:ind w:right="361"/>
        <w:jc w:val="both"/>
      </w:pPr>
      <w:r>
        <w:t xml:space="preserve">The study conducted by Panchal </w:t>
      </w:r>
      <w:proofErr w:type="gramStart"/>
      <w:r>
        <w:t>et</w:t>
      </w:r>
      <w:proofErr w:type="gramEnd"/>
      <w:r>
        <w:t xml:space="preserve">. </w:t>
      </w:r>
      <w:proofErr w:type="gramStart"/>
      <w:r>
        <w:t>al</w:t>
      </w:r>
      <w:r>
        <w:rPr>
          <w:vertAlign w:val="superscript"/>
        </w:rPr>
        <w:t>21</w:t>
      </w:r>
      <w:proofErr w:type="gramEnd"/>
      <w:r>
        <w:t xml:space="preserve"> included 534,845 participants. The results showed that mortality was 16.5% and acute renal failure requiring dialysis (ARFD) was 40.6% higher in</w:t>
      </w:r>
      <w:r w:rsidR="00750C00">
        <w:t xml:space="preserve"> </w:t>
      </w:r>
      <w:r>
        <w:t>CKD patients compared to non-CKD patients (7.12 7.17).In comparison to patients receiving medical therapy, those who had revascularization had a lower risk of hospital death (</w:t>
      </w:r>
      <w:proofErr w:type="spellStart"/>
      <w:r>
        <w:t>aOR</w:t>
      </w:r>
      <w:proofErr w:type="spellEnd"/>
      <w:r>
        <w:t xml:space="preserve"> 0.280, p&lt;0.0001;CKDwithoutdialysis:aOR0.39,p&lt;0.0001;CKD-HD:aOR0.48,p&lt;</w:t>
      </w:r>
      <w:r>
        <w:rPr>
          <w:spacing w:val="-2"/>
        </w:rPr>
        <w:t>0.0001).</w:t>
      </w:r>
    </w:p>
    <w:p w:rsidR="007C464E" w:rsidRDefault="006B4C16">
      <w:pPr>
        <w:pStyle w:val="BodyText"/>
        <w:spacing w:before="1" w:line="480" w:lineRule="auto"/>
        <w:ind w:right="359"/>
        <w:jc w:val="both"/>
      </w:pPr>
      <w:r>
        <w:t>Hospital stays and healthcare costs were higher for people with chronic kidney disease (CKD) compared to those without CKD, CKD without dialysis, and CKD with HD.</w:t>
      </w:r>
      <w:r w:rsidR="00750C00">
        <w:t xml:space="preserve"> </w:t>
      </w:r>
      <w:r>
        <w:t>When comparing coronary</w:t>
      </w:r>
      <w:r w:rsidR="00750C00">
        <w:t xml:space="preserve"> </w:t>
      </w:r>
      <w:r>
        <w:t>revascularization of STEMI to medical</w:t>
      </w:r>
      <w:r w:rsidR="00750C00">
        <w:t xml:space="preserve"> </w:t>
      </w:r>
      <w:r>
        <w:t>therapy, the</w:t>
      </w:r>
      <w:r w:rsidR="00750C00">
        <w:t xml:space="preserve"> </w:t>
      </w:r>
      <w:r>
        <w:t>death rate in CKD</w:t>
      </w:r>
      <w:r w:rsidR="00750C00">
        <w:t xml:space="preserve"> </w:t>
      </w:r>
      <w:r>
        <w:t>patients</w:t>
      </w:r>
      <w:r w:rsidR="00750C00">
        <w:t xml:space="preserve"> </w:t>
      </w:r>
      <w:r>
        <w:t>was</w:t>
      </w:r>
      <w:r w:rsidR="00750C00">
        <w:t xml:space="preserve"> </w:t>
      </w:r>
      <w:r>
        <w:rPr>
          <w:spacing w:val="-5"/>
        </w:rPr>
        <w:t>low</w:t>
      </w:r>
    </w:p>
    <w:p w:rsidR="007C464E" w:rsidRDefault="007C464E">
      <w:pPr>
        <w:pStyle w:val="BodyText"/>
        <w:spacing w:line="480" w:lineRule="auto"/>
        <w:jc w:val="both"/>
        <w:sectPr w:rsidR="007C464E">
          <w:pgSz w:w="12240" w:h="15840"/>
          <w:pgMar w:top="780" w:right="1080" w:bottom="280" w:left="1080" w:header="720" w:footer="720" w:gutter="0"/>
          <w:cols w:space="720"/>
        </w:sectPr>
      </w:pPr>
    </w:p>
    <w:p w:rsidR="007C464E" w:rsidRDefault="006B4C16">
      <w:pPr>
        <w:pStyle w:val="BodyText"/>
        <w:spacing w:before="71" w:line="480" w:lineRule="auto"/>
        <w:ind w:right="361"/>
        <w:jc w:val="both"/>
      </w:pPr>
      <w:proofErr w:type="gramStart"/>
      <w:r>
        <w:lastRenderedPageBreak/>
        <w:t>in</w:t>
      </w:r>
      <w:proofErr w:type="gramEnd"/>
      <w:r>
        <w:t xml:space="preserve"> revascularization group. The fact that CKD is present in STEMI patients is linked to an increased mortality rate and ARFD, extended hospitalization, and the increased cost of </w:t>
      </w:r>
      <w:r>
        <w:rPr>
          <w:spacing w:val="-2"/>
        </w:rPr>
        <w:t>hospitalization.</w:t>
      </w:r>
    </w:p>
    <w:p w:rsidR="007C464E" w:rsidRDefault="006B4C16">
      <w:pPr>
        <w:spacing w:line="268" w:lineRule="exact"/>
        <w:ind w:left="360"/>
        <w:rPr>
          <w:rFonts w:ascii="Calibri"/>
          <w:b/>
        </w:rPr>
      </w:pPr>
      <w:r>
        <w:rPr>
          <w:rFonts w:ascii="Calibri"/>
          <w:b/>
          <w:spacing w:val="-2"/>
        </w:rPr>
        <w:t>Conclusion</w:t>
      </w:r>
    </w:p>
    <w:p w:rsidR="007C464E" w:rsidRDefault="006B4C16">
      <w:pPr>
        <w:pStyle w:val="BodyText"/>
        <w:spacing w:before="242" w:line="480" w:lineRule="auto"/>
        <w:ind w:right="358"/>
        <w:jc w:val="both"/>
      </w:pPr>
      <w:r>
        <w:t>Renal dysfunction, even in its mild form, emerged as an independent and powerful predictor of slow-flow/no-reflow after primary PCI. Incorporating renal function assessment into pre- procedural risk evaluation could improve patient selection, guide preventive strategies, and potentially enhance post-PCI outcomes</w:t>
      </w:r>
    </w:p>
    <w:p w:rsidR="007C464E" w:rsidRDefault="007C464E">
      <w:pPr>
        <w:pStyle w:val="BodyText"/>
        <w:ind w:left="0"/>
      </w:pPr>
    </w:p>
    <w:p w:rsidR="007C464E" w:rsidRDefault="007C464E">
      <w:pPr>
        <w:pStyle w:val="BodyText"/>
        <w:ind w:left="0"/>
      </w:pPr>
    </w:p>
    <w:p w:rsidR="007C464E" w:rsidRDefault="007C464E">
      <w:pPr>
        <w:pStyle w:val="BodyText"/>
        <w:ind w:left="0"/>
      </w:pPr>
    </w:p>
    <w:p w:rsidR="007C464E" w:rsidRDefault="007C464E">
      <w:pPr>
        <w:pStyle w:val="BodyText"/>
        <w:ind w:left="0"/>
      </w:pPr>
    </w:p>
    <w:p w:rsidR="007C464E" w:rsidRDefault="007C464E">
      <w:pPr>
        <w:pStyle w:val="BodyText"/>
        <w:ind w:left="0"/>
      </w:pPr>
    </w:p>
    <w:p w:rsidR="007C464E" w:rsidRDefault="007C464E">
      <w:pPr>
        <w:pStyle w:val="BodyText"/>
        <w:spacing w:before="168"/>
        <w:ind w:left="0"/>
      </w:pPr>
    </w:p>
    <w:p w:rsidR="007C464E" w:rsidRDefault="006B4C16">
      <w:pPr>
        <w:pStyle w:val="Heading1"/>
      </w:pPr>
      <w:r>
        <w:t>Limitations</w:t>
      </w:r>
      <w:r w:rsidR="00750C00">
        <w:t xml:space="preserve"> </w:t>
      </w:r>
      <w:r>
        <w:t>and</w:t>
      </w:r>
      <w:r w:rsidR="00750C00">
        <w:t xml:space="preserve"> </w:t>
      </w:r>
      <w:r>
        <w:rPr>
          <w:spacing w:val="-2"/>
        </w:rPr>
        <w:t>recommendations:</w:t>
      </w:r>
    </w:p>
    <w:p w:rsidR="007C464E" w:rsidRDefault="007C464E">
      <w:pPr>
        <w:pStyle w:val="BodyText"/>
        <w:spacing w:before="243"/>
        <w:ind w:left="0"/>
        <w:rPr>
          <w:b/>
        </w:rPr>
      </w:pPr>
    </w:p>
    <w:p w:rsidR="007C464E" w:rsidRDefault="006B4C16">
      <w:pPr>
        <w:pStyle w:val="BodyText"/>
        <w:spacing w:line="480" w:lineRule="auto"/>
        <w:ind w:right="363"/>
        <w:jc w:val="both"/>
      </w:pPr>
      <w:r>
        <w:t>This study has some limitations, including its single-center, observational design and reliance on a single baseline measure of renal function, which cannot account for acute kidney injury or chronicity.</w:t>
      </w:r>
      <w:r w:rsidR="00750C00">
        <w:t xml:space="preserve"> </w:t>
      </w:r>
      <w:r>
        <w:t>The</w:t>
      </w:r>
      <w:r w:rsidR="00750C00">
        <w:t xml:space="preserve"> </w:t>
      </w:r>
      <w:r>
        <w:t>sample size may</w:t>
      </w:r>
      <w:r w:rsidR="00750C00">
        <w:t xml:space="preserve"> </w:t>
      </w:r>
      <w:r>
        <w:t>also</w:t>
      </w:r>
      <w:r w:rsidR="00750C00">
        <w:t xml:space="preserve"> </w:t>
      </w:r>
      <w:r>
        <w:t>limit the</w:t>
      </w:r>
      <w:r w:rsidR="00750C00">
        <w:t xml:space="preserve"> </w:t>
      </w:r>
      <w:r>
        <w:t>detection of more subtle</w:t>
      </w:r>
      <w:r w:rsidR="00750C00">
        <w:t xml:space="preserve"> </w:t>
      </w:r>
      <w:r>
        <w:t>risk</w:t>
      </w:r>
      <w:r w:rsidR="00750C00">
        <w:t xml:space="preserve"> </w:t>
      </w:r>
      <w:r>
        <w:t>factors.</w:t>
      </w:r>
      <w:r w:rsidR="00750C00">
        <w:t xml:space="preserve"> </w:t>
      </w:r>
      <w:r>
        <w:t>Despite these constraints, our findings strongly recommend that estimated glomerular filtration rate (</w:t>
      </w:r>
      <w:proofErr w:type="spellStart"/>
      <w:r>
        <w:t>eGFR</w:t>
      </w:r>
      <w:proofErr w:type="spellEnd"/>
      <w:r>
        <w:t>) be integrated into pre-procedural risk stratification for patients undergoing primary PCI.</w:t>
      </w:r>
    </w:p>
    <w:p w:rsidR="007C464E" w:rsidRDefault="007C464E">
      <w:pPr>
        <w:pStyle w:val="BodyText"/>
        <w:spacing w:before="5"/>
        <w:ind w:left="0"/>
      </w:pPr>
    </w:p>
    <w:p w:rsidR="007C464E" w:rsidRDefault="007C464E">
      <w:pPr>
        <w:pStyle w:val="BodyText"/>
        <w:spacing w:before="7"/>
        <w:ind w:left="0"/>
      </w:pPr>
    </w:p>
    <w:p w:rsidR="007C464E" w:rsidRDefault="006B4C16">
      <w:pPr>
        <w:pStyle w:val="Heading1"/>
      </w:pPr>
      <w:r>
        <w:rPr>
          <w:spacing w:val="-2"/>
        </w:rPr>
        <w:t>References</w:t>
      </w:r>
    </w:p>
    <w:p w:rsidR="007C464E" w:rsidRDefault="007C464E">
      <w:pPr>
        <w:pStyle w:val="BodyText"/>
        <w:spacing w:before="4"/>
        <w:ind w:left="0"/>
        <w:rPr>
          <w:b/>
        </w:rPr>
      </w:pPr>
    </w:p>
    <w:p w:rsidR="007C464E" w:rsidRDefault="006B4C16" w:rsidP="00C25A45">
      <w:pPr>
        <w:pStyle w:val="ListParagraph"/>
        <w:numPr>
          <w:ilvl w:val="0"/>
          <w:numId w:val="1"/>
        </w:numPr>
        <w:tabs>
          <w:tab w:val="left" w:pos="1081"/>
        </w:tabs>
        <w:ind w:right="390"/>
        <w:jc w:val="both"/>
        <w:rPr>
          <w:b/>
          <w:sz w:val="24"/>
        </w:rPr>
      </w:pPr>
      <w:r>
        <w:rPr>
          <w:sz w:val="24"/>
        </w:rPr>
        <w:t>Kai T, Oka S, Hoshino K, Watanabe K, Nakamura J, Abe M, Watanabe A. Renal dysfunction</w:t>
      </w:r>
      <w:r w:rsidR="00C25A45">
        <w:rPr>
          <w:sz w:val="24"/>
        </w:rPr>
        <w:t xml:space="preserve"> </w:t>
      </w:r>
      <w:r>
        <w:rPr>
          <w:sz w:val="24"/>
        </w:rPr>
        <w:t>as</w:t>
      </w:r>
      <w:r w:rsidR="00C25A45">
        <w:rPr>
          <w:sz w:val="24"/>
        </w:rPr>
        <w:t xml:space="preserve"> </w:t>
      </w:r>
      <w:r>
        <w:rPr>
          <w:sz w:val="24"/>
        </w:rPr>
        <w:t>a</w:t>
      </w:r>
      <w:r w:rsidR="00C25A45">
        <w:rPr>
          <w:sz w:val="24"/>
        </w:rPr>
        <w:t xml:space="preserve"> </w:t>
      </w:r>
      <w:r>
        <w:rPr>
          <w:sz w:val="24"/>
        </w:rPr>
        <w:t>predictor</w:t>
      </w:r>
      <w:r w:rsidR="00C25A45">
        <w:rPr>
          <w:sz w:val="24"/>
        </w:rPr>
        <w:t xml:space="preserve"> </w:t>
      </w:r>
      <w:r>
        <w:rPr>
          <w:sz w:val="24"/>
        </w:rPr>
        <w:t>of</w:t>
      </w:r>
      <w:r w:rsidR="00C25A45">
        <w:rPr>
          <w:sz w:val="24"/>
        </w:rPr>
        <w:t xml:space="preserve"> </w:t>
      </w:r>
      <w:r>
        <w:rPr>
          <w:sz w:val="24"/>
        </w:rPr>
        <w:t>slow-flow/no-reflow</w:t>
      </w:r>
      <w:r w:rsidR="00C25A45">
        <w:rPr>
          <w:sz w:val="24"/>
        </w:rPr>
        <w:t xml:space="preserve"> </w:t>
      </w:r>
      <w:r>
        <w:rPr>
          <w:sz w:val="24"/>
        </w:rPr>
        <w:t>phenomenon</w:t>
      </w:r>
      <w:r w:rsidR="00C25A45">
        <w:rPr>
          <w:sz w:val="24"/>
        </w:rPr>
        <w:t xml:space="preserve"> </w:t>
      </w:r>
      <w:r>
        <w:rPr>
          <w:sz w:val="24"/>
        </w:rPr>
        <w:t>and</w:t>
      </w:r>
      <w:r w:rsidR="00C25A45">
        <w:rPr>
          <w:sz w:val="24"/>
        </w:rPr>
        <w:t xml:space="preserve"> </w:t>
      </w:r>
      <w:r>
        <w:rPr>
          <w:sz w:val="24"/>
        </w:rPr>
        <w:t>impaired</w:t>
      </w:r>
      <w:r w:rsidR="00C25A45">
        <w:rPr>
          <w:sz w:val="24"/>
        </w:rPr>
        <w:t xml:space="preserve"> </w:t>
      </w:r>
      <w:r>
        <w:rPr>
          <w:sz w:val="24"/>
        </w:rPr>
        <w:t>ST</w:t>
      </w:r>
      <w:r w:rsidR="00C25A45">
        <w:rPr>
          <w:sz w:val="24"/>
        </w:rPr>
        <w:t xml:space="preserve"> </w:t>
      </w:r>
      <w:r>
        <w:rPr>
          <w:sz w:val="24"/>
        </w:rPr>
        <w:t>segment resolution</w:t>
      </w:r>
      <w:r w:rsidR="00C25A45">
        <w:rPr>
          <w:sz w:val="24"/>
        </w:rPr>
        <w:t xml:space="preserve"> </w:t>
      </w:r>
      <w:r>
        <w:rPr>
          <w:sz w:val="24"/>
        </w:rPr>
        <w:t>after</w:t>
      </w:r>
      <w:r w:rsidR="00C25A45">
        <w:rPr>
          <w:sz w:val="24"/>
        </w:rPr>
        <w:t xml:space="preserve"> </w:t>
      </w:r>
      <w:r>
        <w:rPr>
          <w:sz w:val="24"/>
        </w:rPr>
        <w:t>percutaneous</w:t>
      </w:r>
      <w:r w:rsidR="00C25A45">
        <w:rPr>
          <w:sz w:val="24"/>
        </w:rPr>
        <w:t xml:space="preserve"> </w:t>
      </w:r>
      <w:r>
        <w:rPr>
          <w:sz w:val="24"/>
        </w:rPr>
        <w:t>coronary</w:t>
      </w:r>
      <w:r w:rsidR="00C25A45">
        <w:rPr>
          <w:sz w:val="24"/>
        </w:rPr>
        <w:t xml:space="preserve"> </w:t>
      </w:r>
      <w:r>
        <w:rPr>
          <w:sz w:val="24"/>
        </w:rPr>
        <w:t>intervention</w:t>
      </w:r>
      <w:r w:rsidR="00C25A45">
        <w:rPr>
          <w:sz w:val="24"/>
        </w:rPr>
        <w:t xml:space="preserve"> </w:t>
      </w:r>
      <w:r>
        <w:rPr>
          <w:sz w:val="24"/>
        </w:rPr>
        <w:t>in</w:t>
      </w:r>
      <w:r w:rsidR="00C25A45">
        <w:rPr>
          <w:sz w:val="24"/>
        </w:rPr>
        <w:t xml:space="preserve"> </w:t>
      </w:r>
      <w:r>
        <w:rPr>
          <w:sz w:val="24"/>
        </w:rPr>
        <w:t>ST-elevation</w:t>
      </w:r>
      <w:r w:rsidR="00C25A45">
        <w:rPr>
          <w:sz w:val="24"/>
        </w:rPr>
        <w:t xml:space="preserve"> </w:t>
      </w:r>
      <w:r>
        <w:rPr>
          <w:sz w:val="24"/>
        </w:rPr>
        <w:t>myocardial</w:t>
      </w:r>
      <w:r w:rsidR="00C25A45">
        <w:rPr>
          <w:sz w:val="24"/>
        </w:rPr>
        <w:t xml:space="preserve"> </w:t>
      </w:r>
      <w:r>
        <w:rPr>
          <w:sz w:val="24"/>
        </w:rPr>
        <w:t xml:space="preserve">infarction with initial thrombolysis in myocardial infarction grade 0. Circulation Journal. 2021 Sep </w:t>
      </w:r>
      <w:r>
        <w:rPr>
          <w:spacing w:val="-2"/>
          <w:sz w:val="24"/>
        </w:rPr>
        <w:t>24</w:t>
      </w:r>
      <w:proofErr w:type="gramStart"/>
      <w:r>
        <w:rPr>
          <w:spacing w:val="-2"/>
          <w:sz w:val="24"/>
        </w:rPr>
        <w:t>;85</w:t>
      </w:r>
      <w:proofErr w:type="gramEnd"/>
      <w:r>
        <w:rPr>
          <w:spacing w:val="-2"/>
          <w:sz w:val="24"/>
        </w:rPr>
        <w:t>(10):1770-8.</w:t>
      </w:r>
    </w:p>
    <w:p w:rsidR="007C464E" w:rsidRDefault="006B4C16">
      <w:pPr>
        <w:pStyle w:val="ListParagraph"/>
        <w:numPr>
          <w:ilvl w:val="0"/>
          <w:numId w:val="1"/>
        </w:numPr>
        <w:tabs>
          <w:tab w:val="left" w:pos="1081"/>
        </w:tabs>
        <w:spacing w:before="240"/>
        <w:ind w:right="568"/>
        <w:rPr>
          <w:b/>
          <w:sz w:val="24"/>
        </w:rPr>
      </w:pPr>
      <w:proofErr w:type="spellStart"/>
      <w:r>
        <w:rPr>
          <w:color w:val="212121"/>
          <w:sz w:val="24"/>
        </w:rPr>
        <w:t>Refaat</w:t>
      </w:r>
      <w:proofErr w:type="spellEnd"/>
      <w:r>
        <w:rPr>
          <w:color w:val="212121"/>
          <w:sz w:val="24"/>
        </w:rPr>
        <w:t xml:space="preserve"> H, </w:t>
      </w:r>
      <w:proofErr w:type="spellStart"/>
      <w:r>
        <w:rPr>
          <w:color w:val="212121"/>
          <w:sz w:val="24"/>
        </w:rPr>
        <w:t>Tantawy</w:t>
      </w:r>
      <w:proofErr w:type="spellEnd"/>
      <w:r>
        <w:rPr>
          <w:color w:val="212121"/>
          <w:sz w:val="24"/>
        </w:rPr>
        <w:t xml:space="preserve"> A, Gamal AS, </w:t>
      </w:r>
      <w:proofErr w:type="spellStart"/>
      <w:r>
        <w:rPr>
          <w:color w:val="212121"/>
          <w:sz w:val="24"/>
        </w:rPr>
        <w:t>Radwan</w:t>
      </w:r>
      <w:proofErr w:type="spellEnd"/>
      <w:r>
        <w:rPr>
          <w:color w:val="212121"/>
          <w:sz w:val="24"/>
        </w:rPr>
        <w:t xml:space="preserve"> H. Novel predictors and adverse long-term outcomes of No-reflow phenomenon in patients with acute ST elevation myocardial infarction</w:t>
      </w:r>
      <w:r w:rsidR="00C25A45">
        <w:rPr>
          <w:color w:val="212121"/>
          <w:sz w:val="24"/>
        </w:rPr>
        <w:t xml:space="preserve"> </w:t>
      </w:r>
      <w:r>
        <w:rPr>
          <w:color w:val="212121"/>
          <w:sz w:val="24"/>
        </w:rPr>
        <w:t>undergoing</w:t>
      </w:r>
      <w:r w:rsidR="00C25A45">
        <w:rPr>
          <w:color w:val="212121"/>
          <w:sz w:val="24"/>
        </w:rPr>
        <w:t xml:space="preserve"> </w:t>
      </w:r>
      <w:r>
        <w:rPr>
          <w:color w:val="212121"/>
          <w:sz w:val="24"/>
        </w:rPr>
        <w:t>primary</w:t>
      </w:r>
      <w:r w:rsidR="00C25A45">
        <w:rPr>
          <w:color w:val="212121"/>
          <w:sz w:val="24"/>
        </w:rPr>
        <w:t xml:space="preserve"> </w:t>
      </w:r>
      <w:r>
        <w:rPr>
          <w:color w:val="212121"/>
          <w:sz w:val="24"/>
        </w:rPr>
        <w:t>percutaneous</w:t>
      </w:r>
      <w:r w:rsidR="00C25A45">
        <w:rPr>
          <w:color w:val="212121"/>
          <w:sz w:val="24"/>
        </w:rPr>
        <w:t xml:space="preserve"> </w:t>
      </w:r>
      <w:r>
        <w:rPr>
          <w:color w:val="212121"/>
          <w:sz w:val="24"/>
        </w:rPr>
        <w:t>coronary</w:t>
      </w:r>
      <w:r w:rsidR="00C25A45">
        <w:rPr>
          <w:color w:val="212121"/>
          <w:sz w:val="24"/>
        </w:rPr>
        <w:t xml:space="preserve"> </w:t>
      </w:r>
      <w:r>
        <w:rPr>
          <w:color w:val="212121"/>
          <w:sz w:val="24"/>
        </w:rPr>
        <w:t>intervention.</w:t>
      </w:r>
      <w:r w:rsidR="00C25A45">
        <w:rPr>
          <w:color w:val="212121"/>
          <w:sz w:val="24"/>
        </w:rPr>
        <w:t xml:space="preserve"> </w:t>
      </w:r>
      <w:proofErr w:type="spellStart"/>
      <w:r>
        <w:rPr>
          <w:color w:val="212121"/>
          <w:sz w:val="24"/>
        </w:rPr>
        <w:t>Indianheartjournal</w:t>
      </w:r>
      <w:proofErr w:type="spellEnd"/>
      <w:r>
        <w:rPr>
          <w:color w:val="212121"/>
          <w:sz w:val="24"/>
        </w:rPr>
        <w:t>. 2021 Jan 1</w:t>
      </w:r>
      <w:proofErr w:type="gramStart"/>
      <w:r>
        <w:rPr>
          <w:color w:val="212121"/>
          <w:sz w:val="24"/>
        </w:rPr>
        <w:t>;73</w:t>
      </w:r>
      <w:proofErr w:type="gramEnd"/>
      <w:r>
        <w:rPr>
          <w:color w:val="212121"/>
          <w:sz w:val="24"/>
        </w:rPr>
        <w:t>(1):35-43.</w:t>
      </w:r>
      <w:r>
        <w:rPr>
          <w:sz w:val="24"/>
        </w:rPr>
        <w:t>.</w:t>
      </w:r>
    </w:p>
    <w:p w:rsidR="007C464E" w:rsidRDefault="006B4C16">
      <w:pPr>
        <w:pStyle w:val="ListParagraph"/>
        <w:numPr>
          <w:ilvl w:val="0"/>
          <w:numId w:val="1"/>
        </w:numPr>
        <w:tabs>
          <w:tab w:val="left" w:pos="1081"/>
        </w:tabs>
        <w:spacing w:before="241"/>
        <w:ind w:right="839"/>
        <w:rPr>
          <w:b/>
          <w:sz w:val="24"/>
        </w:rPr>
      </w:pPr>
      <w:proofErr w:type="spellStart"/>
      <w:r>
        <w:rPr>
          <w:sz w:val="24"/>
        </w:rPr>
        <w:t>Khalfallah</w:t>
      </w:r>
      <w:proofErr w:type="spellEnd"/>
      <w:r>
        <w:rPr>
          <w:sz w:val="24"/>
        </w:rPr>
        <w:t xml:space="preserve"> M, </w:t>
      </w:r>
      <w:proofErr w:type="spellStart"/>
      <w:r>
        <w:rPr>
          <w:sz w:val="24"/>
        </w:rPr>
        <w:t>Allaithy</w:t>
      </w:r>
      <w:proofErr w:type="spellEnd"/>
      <w:r>
        <w:rPr>
          <w:sz w:val="24"/>
        </w:rPr>
        <w:t xml:space="preserve"> A, </w:t>
      </w:r>
      <w:proofErr w:type="spellStart"/>
      <w:r>
        <w:rPr>
          <w:sz w:val="24"/>
        </w:rPr>
        <w:t>MariaDA</w:t>
      </w:r>
      <w:proofErr w:type="spellEnd"/>
      <w:r>
        <w:rPr>
          <w:sz w:val="24"/>
        </w:rPr>
        <w:t xml:space="preserve">. </w:t>
      </w:r>
      <w:proofErr w:type="spellStart"/>
      <w:r>
        <w:rPr>
          <w:sz w:val="24"/>
        </w:rPr>
        <w:t>Impactof</w:t>
      </w:r>
      <w:proofErr w:type="spellEnd"/>
      <w:r>
        <w:rPr>
          <w:sz w:val="24"/>
        </w:rPr>
        <w:t xml:space="preserve"> </w:t>
      </w:r>
      <w:proofErr w:type="spellStart"/>
      <w:r>
        <w:rPr>
          <w:sz w:val="24"/>
        </w:rPr>
        <w:t>thetotalischemiatimeon</w:t>
      </w:r>
      <w:proofErr w:type="spellEnd"/>
      <w:r>
        <w:rPr>
          <w:sz w:val="24"/>
        </w:rPr>
        <w:t xml:space="preserve"> no-reflow phenomenoninpatientswithSTelevationmyocardialinfarctionundergoingprimary percutaneous coronary intervention. Anatolian journal of cardiology. 2022 May </w:t>
      </w:r>
      <w:r>
        <w:rPr>
          <w:spacing w:val="-2"/>
          <w:sz w:val="24"/>
        </w:rPr>
        <w:lastRenderedPageBreak/>
        <w:t>1</w:t>
      </w:r>
      <w:proofErr w:type="gramStart"/>
      <w:r>
        <w:rPr>
          <w:spacing w:val="-2"/>
          <w:sz w:val="24"/>
        </w:rPr>
        <w:t>;26</w:t>
      </w:r>
      <w:proofErr w:type="gramEnd"/>
      <w:r>
        <w:rPr>
          <w:spacing w:val="-2"/>
          <w:sz w:val="24"/>
        </w:rPr>
        <w:t>(5):382.</w:t>
      </w:r>
    </w:p>
    <w:p w:rsidR="007C464E" w:rsidRDefault="006B4C16">
      <w:pPr>
        <w:pStyle w:val="ListParagraph"/>
        <w:numPr>
          <w:ilvl w:val="0"/>
          <w:numId w:val="1"/>
        </w:numPr>
        <w:tabs>
          <w:tab w:val="left" w:pos="1081"/>
        </w:tabs>
        <w:spacing w:before="237"/>
        <w:ind w:right="456"/>
        <w:rPr>
          <w:b/>
          <w:sz w:val="24"/>
        </w:rPr>
      </w:pPr>
      <w:proofErr w:type="spellStart"/>
      <w:r>
        <w:rPr>
          <w:sz w:val="24"/>
        </w:rPr>
        <w:t>Ashoori</w:t>
      </w:r>
      <w:proofErr w:type="spellEnd"/>
      <w:r>
        <w:rPr>
          <w:sz w:val="24"/>
        </w:rPr>
        <w:t xml:space="preserve"> A, </w:t>
      </w:r>
      <w:proofErr w:type="spellStart"/>
      <w:r>
        <w:rPr>
          <w:sz w:val="24"/>
        </w:rPr>
        <w:t>Pourhosseini</w:t>
      </w:r>
      <w:proofErr w:type="spellEnd"/>
      <w:r>
        <w:rPr>
          <w:sz w:val="24"/>
        </w:rPr>
        <w:t xml:space="preserve"> H, </w:t>
      </w:r>
      <w:proofErr w:type="spellStart"/>
      <w:r>
        <w:rPr>
          <w:sz w:val="24"/>
        </w:rPr>
        <w:t>Ghodsi</w:t>
      </w:r>
      <w:proofErr w:type="spellEnd"/>
      <w:r>
        <w:rPr>
          <w:sz w:val="24"/>
        </w:rPr>
        <w:t xml:space="preserve"> S, </w:t>
      </w:r>
      <w:proofErr w:type="spellStart"/>
      <w:r>
        <w:rPr>
          <w:sz w:val="24"/>
        </w:rPr>
        <w:t>Salarifar</w:t>
      </w:r>
      <w:proofErr w:type="spellEnd"/>
      <w:r>
        <w:rPr>
          <w:sz w:val="24"/>
        </w:rPr>
        <w:t xml:space="preserve"> M, </w:t>
      </w:r>
      <w:proofErr w:type="spellStart"/>
      <w:r>
        <w:rPr>
          <w:sz w:val="24"/>
        </w:rPr>
        <w:t>Nematipour</w:t>
      </w:r>
      <w:proofErr w:type="spellEnd"/>
      <w:r>
        <w:rPr>
          <w:sz w:val="24"/>
        </w:rPr>
        <w:t xml:space="preserve"> E, </w:t>
      </w:r>
      <w:proofErr w:type="spellStart"/>
      <w:r>
        <w:rPr>
          <w:sz w:val="24"/>
        </w:rPr>
        <w:t>Alidoosti</w:t>
      </w:r>
      <w:proofErr w:type="spellEnd"/>
      <w:r>
        <w:rPr>
          <w:sz w:val="24"/>
        </w:rPr>
        <w:t xml:space="preserve"> M, Haji- </w:t>
      </w:r>
      <w:proofErr w:type="spellStart"/>
      <w:r>
        <w:rPr>
          <w:sz w:val="24"/>
        </w:rPr>
        <w:t>ZeinaliAM,NozariY,AmirzadeganA,AghajaniH,JalaliA</w:t>
      </w:r>
      <w:proofErr w:type="spellEnd"/>
      <w:r>
        <w:rPr>
          <w:sz w:val="24"/>
        </w:rPr>
        <w:t>.</w:t>
      </w:r>
      <w:r w:rsidR="00C25A45">
        <w:rPr>
          <w:sz w:val="24"/>
        </w:rPr>
        <w:t xml:space="preserve"> </w:t>
      </w:r>
      <w:r>
        <w:rPr>
          <w:sz w:val="24"/>
        </w:rPr>
        <w:t>CHA2DS2-VASc</w:t>
      </w:r>
      <w:r w:rsidR="00C25A45">
        <w:rPr>
          <w:sz w:val="24"/>
        </w:rPr>
        <w:t xml:space="preserve"> </w:t>
      </w:r>
      <w:r>
        <w:rPr>
          <w:sz w:val="24"/>
        </w:rPr>
        <w:t>score</w:t>
      </w:r>
      <w:r w:rsidR="00C25A45">
        <w:rPr>
          <w:sz w:val="24"/>
        </w:rPr>
        <w:t xml:space="preserve"> </w:t>
      </w:r>
      <w:r>
        <w:rPr>
          <w:sz w:val="24"/>
        </w:rPr>
        <w:t xml:space="preserve">as an independent predictor of suboptimal reperfusion and short-term mortality after primary PCI in patients with acute ST segment elevation myocardial infarction. </w:t>
      </w:r>
      <w:proofErr w:type="spellStart"/>
      <w:r>
        <w:rPr>
          <w:sz w:val="24"/>
        </w:rPr>
        <w:t>Medicina</w:t>
      </w:r>
      <w:proofErr w:type="spellEnd"/>
      <w:r>
        <w:rPr>
          <w:sz w:val="24"/>
        </w:rPr>
        <w:t>. 2019 Feb 1</w:t>
      </w:r>
      <w:proofErr w:type="gramStart"/>
      <w:r>
        <w:rPr>
          <w:sz w:val="24"/>
        </w:rPr>
        <w:t>;55</w:t>
      </w:r>
      <w:proofErr w:type="gramEnd"/>
      <w:r>
        <w:rPr>
          <w:sz w:val="24"/>
        </w:rPr>
        <w:t>(2):35.</w:t>
      </w:r>
    </w:p>
    <w:p w:rsidR="007C464E" w:rsidRDefault="006B4C16">
      <w:pPr>
        <w:pStyle w:val="ListParagraph"/>
        <w:numPr>
          <w:ilvl w:val="0"/>
          <w:numId w:val="1"/>
        </w:numPr>
        <w:tabs>
          <w:tab w:val="left" w:pos="1081"/>
        </w:tabs>
        <w:spacing w:before="241"/>
        <w:ind w:right="425"/>
        <w:rPr>
          <w:b/>
          <w:sz w:val="24"/>
        </w:rPr>
      </w:pPr>
      <w:proofErr w:type="spellStart"/>
      <w:r>
        <w:rPr>
          <w:sz w:val="24"/>
        </w:rPr>
        <w:t>Mirbolouk</w:t>
      </w:r>
      <w:proofErr w:type="spellEnd"/>
      <w:r>
        <w:rPr>
          <w:sz w:val="24"/>
        </w:rPr>
        <w:t xml:space="preserve"> F, </w:t>
      </w:r>
      <w:proofErr w:type="spellStart"/>
      <w:r>
        <w:rPr>
          <w:sz w:val="24"/>
        </w:rPr>
        <w:t>Gholipour</w:t>
      </w:r>
      <w:proofErr w:type="spellEnd"/>
      <w:r>
        <w:rPr>
          <w:sz w:val="24"/>
        </w:rPr>
        <w:t xml:space="preserve"> M, </w:t>
      </w:r>
      <w:proofErr w:type="spellStart"/>
      <w:r>
        <w:rPr>
          <w:sz w:val="24"/>
        </w:rPr>
        <w:t>Salari</w:t>
      </w:r>
      <w:proofErr w:type="spellEnd"/>
      <w:r>
        <w:rPr>
          <w:sz w:val="24"/>
        </w:rPr>
        <w:t xml:space="preserve"> A, </w:t>
      </w:r>
      <w:proofErr w:type="spellStart"/>
      <w:r>
        <w:rPr>
          <w:sz w:val="24"/>
        </w:rPr>
        <w:t>Shakiba</w:t>
      </w:r>
      <w:proofErr w:type="spellEnd"/>
      <w:r>
        <w:rPr>
          <w:sz w:val="24"/>
        </w:rPr>
        <w:t xml:space="preserve"> M, </w:t>
      </w:r>
      <w:proofErr w:type="spellStart"/>
      <w:r>
        <w:rPr>
          <w:sz w:val="24"/>
        </w:rPr>
        <w:t>Kheyrkhah</w:t>
      </w:r>
      <w:proofErr w:type="spellEnd"/>
      <w:r>
        <w:rPr>
          <w:sz w:val="24"/>
        </w:rPr>
        <w:t xml:space="preserve"> J, </w:t>
      </w:r>
      <w:proofErr w:type="spellStart"/>
      <w:r>
        <w:rPr>
          <w:sz w:val="24"/>
        </w:rPr>
        <w:t>Nikseresht</w:t>
      </w:r>
      <w:proofErr w:type="spellEnd"/>
      <w:r>
        <w:rPr>
          <w:sz w:val="24"/>
        </w:rPr>
        <w:t xml:space="preserve"> V, </w:t>
      </w:r>
      <w:proofErr w:type="spellStart"/>
      <w:r>
        <w:rPr>
          <w:sz w:val="24"/>
        </w:rPr>
        <w:t>Sotoudeh</w:t>
      </w:r>
      <w:proofErr w:type="spellEnd"/>
      <w:r>
        <w:rPr>
          <w:sz w:val="24"/>
        </w:rPr>
        <w:t xml:space="preserve"> N,MoghadamN,MirboloukMJ.CHA2DS2-VAScscorepredictno-reflowphenomenon in primary percutaneous coronary intervention in primary percutaneous coronary intervention. Journal of cardiovascular and thoracic research. 2018 Mar 18</w:t>
      </w:r>
      <w:proofErr w:type="gramStart"/>
      <w:r>
        <w:rPr>
          <w:sz w:val="24"/>
        </w:rPr>
        <w:t>;10</w:t>
      </w:r>
      <w:proofErr w:type="gramEnd"/>
      <w:r>
        <w:rPr>
          <w:sz w:val="24"/>
        </w:rPr>
        <w:t>(1):46.</w:t>
      </w:r>
    </w:p>
    <w:p w:rsidR="007C464E" w:rsidRDefault="006B4C16">
      <w:pPr>
        <w:pStyle w:val="ListParagraph"/>
        <w:numPr>
          <w:ilvl w:val="0"/>
          <w:numId w:val="1"/>
        </w:numPr>
        <w:tabs>
          <w:tab w:val="left" w:pos="1081"/>
        </w:tabs>
        <w:spacing w:before="241"/>
        <w:ind w:right="407"/>
        <w:rPr>
          <w:b/>
          <w:sz w:val="24"/>
        </w:rPr>
      </w:pPr>
      <w:r>
        <w:rPr>
          <w:sz w:val="24"/>
        </w:rPr>
        <w:t xml:space="preserve">Ashraf T, Khan MN, </w:t>
      </w:r>
      <w:proofErr w:type="spellStart"/>
      <w:r>
        <w:rPr>
          <w:sz w:val="24"/>
        </w:rPr>
        <w:t>Afaque</w:t>
      </w:r>
      <w:proofErr w:type="spellEnd"/>
      <w:r>
        <w:rPr>
          <w:sz w:val="24"/>
        </w:rPr>
        <w:t xml:space="preserve"> SM, </w:t>
      </w:r>
      <w:proofErr w:type="spellStart"/>
      <w:r>
        <w:rPr>
          <w:sz w:val="24"/>
        </w:rPr>
        <w:t>Aamir</w:t>
      </w:r>
      <w:proofErr w:type="spellEnd"/>
      <w:r>
        <w:rPr>
          <w:sz w:val="24"/>
        </w:rPr>
        <w:t xml:space="preserve"> KF, Kumar M, </w:t>
      </w:r>
      <w:proofErr w:type="spellStart"/>
      <w:r>
        <w:rPr>
          <w:sz w:val="24"/>
        </w:rPr>
        <w:t>Saghir</w:t>
      </w:r>
      <w:proofErr w:type="spellEnd"/>
      <w:r>
        <w:rPr>
          <w:sz w:val="24"/>
        </w:rPr>
        <w:t xml:space="preserve"> T, </w:t>
      </w:r>
      <w:proofErr w:type="spellStart"/>
      <w:r>
        <w:rPr>
          <w:sz w:val="24"/>
        </w:rPr>
        <w:t>Rasool</w:t>
      </w:r>
      <w:proofErr w:type="spellEnd"/>
      <w:r>
        <w:rPr>
          <w:sz w:val="24"/>
        </w:rPr>
        <w:t xml:space="preserve"> SI, Rizvi SN, SialJA,NadeemA,KhanAA.Clinicalandproceduralpredictorsandshort-termsurvival of the patients with no reflow phenomenon after primary percutaneous coronary intervention. International journal of cardiology. 2019 Nov 1</w:t>
      </w:r>
      <w:proofErr w:type="gramStart"/>
      <w:r>
        <w:rPr>
          <w:sz w:val="24"/>
        </w:rPr>
        <w:t>;294:27</w:t>
      </w:r>
      <w:proofErr w:type="gramEnd"/>
      <w:r>
        <w:rPr>
          <w:sz w:val="24"/>
        </w:rPr>
        <w:t>-31.</w:t>
      </w:r>
    </w:p>
    <w:p w:rsidR="007C464E" w:rsidRDefault="006B4C16">
      <w:pPr>
        <w:pStyle w:val="ListParagraph"/>
        <w:numPr>
          <w:ilvl w:val="0"/>
          <w:numId w:val="1"/>
        </w:numPr>
        <w:tabs>
          <w:tab w:val="left" w:pos="1081"/>
        </w:tabs>
        <w:spacing w:before="242"/>
        <w:ind w:right="466"/>
        <w:rPr>
          <w:b/>
          <w:sz w:val="24"/>
        </w:rPr>
      </w:pPr>
      <w:r>
        <w:rPr>
          <w:sz w:val="24"/>
        </w:rPr>
        <w:t xml:space="preserve">Sabin P, Koshy AG, Gupta PN, </w:t>
      </w:r>
      <w:proofErr w:type="spellStart"/>
      <w:r>
        <w:rPr>
          <w:sz w:val="24"/>
        </w:rPr>
        <w:t>Sanjai</w:t>
      </w:r>
      <w:proofErr w:type="spellEnd"/>
      <w:r>
        <w:rPr>
          <w:sz w:val="24"/>
        </w:rPr>
        <w:t xml:space="preserve"> PV, </w:t>
      </w:r>
      <w:proofErr w:type="spellStart"/>
      <w:r>
        <w:rPr>
          <w:sz w:val="24"/>
        </w:rPr>
        <w:t>Sivaprasad</w:t>
      </w:r>
      <w:proofErr w:type="spellEnd"/>
      <w:r>
        <w:rPr>
          <w:sz w:val="24"/>
        </w:rPr>
        <w:t xml:space="preserve"> K, </w:t>
      </w:r>
      <w:proofErr w:type="spellStart"/>
      <w:r>
        <w:rPr>
          <w:sz w:val="24"/>
        </w:rPr>
        <w:t>Velappan</w:t>
      </w:r>
      <w:proofErr w:type="spellEnd"/>
      <w:r>
        <w:rPr>
          <w:sz w:val="24"/>
        </w:rPr>
        <w:t xml:space="preserve"> P, </w:t>
      </w:r>
      <w:proofErr w:type="spellStart"/>
      <w:r>
        <w:rPr>
          <w:sz w:val="24"/>
        </w:rPr>
        <w:t>Velayudhan</w:t>
      </w:r>
      <w:proofErr w:type="spellEnd"/>
      <w:r>
        <w:rPr>
          <w:sz w:val="24"/>
        </w:rPr>
        <w:t xml:space="preserve"> RV. Predictorsofno-reflowduringprimaryangioplastyforacutemyocardialinfarction,</w:t>
      </w:r>
      <w:r w:rsidR="00C25A45">
        <w:rPr>
          <w:sz w:val="24"/>
        </w:rPr>
        <w:t xml:space="preserve"> </w:t>
      </w:r>
      <w:r>
        <w:rPr>
          <w:sz w:val="24"/>
        </w:rPr>
        <w:t>from Medical College Hospital, Trivandrum. Indian heart journal. 2017 Apr 1</w:t>
      </w:r>
      <w:proofErr w:type="gramStart"/>
      <w:r>
        <w:rPr>
          <w:sz w:val="24"/>
        </w:rPr>
        <w:t>;69:S34</w:t>
      </w:r>
      <w:proofErr w:type="gramEnd"/>
      <w:r>
        <w:rPr>
          <w:sz w:val="24"/>
        </w:rPr>
        <w:t>-45.</w:t>
      </w:r>
    </w:p>
    <w:p w:rsidR="007C464E" w:rsidRDefault="006B4C16">
      <w:pPr>
        <w:pStyle w:val="ListParagraph"/>
        <w:numPr>
          <w:ilvl w:val="0"/>
          <w:numId w:val="1"/>
        </w:numPr>
        <w:tabs>
          <w:tab w:val="left" w:pos="1081"/>
        </w:tabs>
        <w:spacing w:before="237"/>
        <w:ind w:right="439"/>
        <w:rPr>
          <w:b/>
          <w:sz w:val="24"/>
        </w:rPr>
      </w:pPr>
      <w:proofErr w:type="spellStart"/>
      <w:r>
        <w:rPr>
          <w:sz w:val="24"/>
        </w:rPr>
        <w:t>Thygesen</w:t>
      </w:r>
      <w:proofErr w:type="spellEnd"/>
      <w:r>
        <w:rPr>
          <w:sz w:val="24"/>
        </w:rPr>
        <w:t xml:space="preserve"> K, Alpert JS, Jaffe AS, </w:t>
      </w:r>
      <w:proofErr w:type="spellStart"/>
      <w:r>
        <w:rPr>
          <w:sz w:val="24"/>
        </w:rPr>
        <w:t>Chaitman</w:t>
      </w:r>
      <w:proofErr w:type="spellEnd"/>
      <w:r>
        <w:rPr>
          <w:sz w:val="24"/>
        </w:rPr>
        <w:t xml:space="preserve"> BR, </w:t>
      </w:r>
      <w:proofErr w:type="spellStart"/>
      <w:r>
        <w:rPr>
          <w:sz w:val="24"/>
        </w:rPr>
        <w:t>Bax</w:t>
      </w:r>
      <w:proofErr w:type="spellEnd"/>
      <w:r>
        <w:rPr>
          <w:sz w:val="24"/>
        </w:rPr>
        <w:t xml:space="preserve"> JJ, Morrow DA, White HD, ExecutiveGrouponbehalfoftheJointEuropeanSocietyofCardiology(ESC)/American College of Cardiology (ACC)/American Heart Association (AHA)/World Heart Federation (WHF) Task Force for the Universal Definition of Myocardial Infarction. Fourth universal definition of myocardial infarction (2018). Journal of the American college of cardiology. 2018 Oct 30</w:t>
      </w:r>
      <w:proofErr w:type="gramStart"/>
      <w:r>
        <w:rPr>
          <w:sz w:val="24"/>
        </w:rPr>
        <w:t>;72</w:t>
      </w:r>
      <w:proofErr w:type="gramEnd"/>
      <w:r>
        <w:rPr>
          <w:sz w:val="24"/>
        </w:rPr>
        <w:t>(18):2231-64.</w:t>
      </w:r>
    </w:p>
    <w:p w:rsidR="007C464E" w:rsidRDefault="006B4C16">
      <w:pPr>
        <w:pStyle w:val="ListParagraph"/>
        <w:numPr>
          <w:ilvl w:val="0"/>
          <w:numId w:val="1"/>
        </w:numPr>
        <w:tabs>
          <w:tab w:val="left" w:pos="1081"/>
        </w:tabs>
        <w:spacing w:before="245"/>
        <w:ind w:right="839"/>
        <w:rPr>
          <w:sz w:val="24"/>
        </w:rPr>
      </w:pPr>
      <w:proofErr w:type="spellStart"/>
      <w:r>
        <w:rPr>
          <w:color w:val="212121"/>
          <w:sz w:val="24"/>
        </w:rPr>
        <w:t>Khalfallah</w:t>
      </w:r>
      <w:proofErr w:type="spellEnd"/>
      <w:r>
        <w:rPr>
          <w:color w:val="212121"/>
          <w:sz w:val="24"/>
        </w:rPr>
        <w:t xml:space="preserve"> M, </w:t>
      </w:r>
      <w:proofErr w:type="spellStart"/>
      <w:r>
        <w:rPr>
          <w:color w:val="212121"/>
          <w:sz w:val="24"/>
        </w:rPr>
        <w:t>Allaithy</w:t>
      </w:r>
      <w:proofErr w:type="spellEnd"/>
      <w:r>
        <w:rPr>
          <w:color w:val="212121"/>
          <w:sz w:val="24"/>
        </w:rPr>
        <w:t xml:space="preserve"> A, </w:t>
      </w:r>
      <w:proofErr w:type="spellStart"/>
      <w:r>
        <w:rPr>
          <w:color w:val="212121"/>
          <w:sz w:val="24"/>
        </w:rPr>
        <w:t>MariaDA</w:t>
      </w:r>
      <w:proofErr w:type="spellEnd"/>
      <w:r>
        <w:rPr>
          <w:color w:val="212121"/>
          <w:sz w:val="24"/>
        </w:rPr>
        <w:t>. Impact</w:t>
      </w:r>
      <w:r w:rsidR="00C25A45">
        <w:rPr>
          <w:color w:val="212121"/>
          <w:sz w:val="24"/>
        </w:rPr>
        <w:t xml:space="preserve"> </w:t>
      </w:r>
      <w:r>
        <w:rPr>
          <w:color w:val="212121"/>
          <w:sz w:val="24"/>
        </w:rPr>
        <w:t>of the</w:t>
      </w:r>
      <w:r w:rsidR="00C25A45">
        <w:rPr>
          <w:color w:val="212121"/>
          <w:sz w:val="24"/>
        </w:rPr>
        <w:t xml:space="preserve"> </w:t>
      </w:r>
      <w:r>
        <w:rPr>
          <w:color w:val="212121"/>
          <w:sz w:val="24"/>
        </w:rPr>
        <w:t>total</w:t>
      </w:r>
      <w:r w:rsidR="00C25A45">
        <w:rPr>
          <w:color w:val="212121"/>
          <w:sz w:val="24"/>
        </w:rPr>
        <w:t xml:space="preserve"> </w:t>
      </w:r>
      <w:r>
        <w:rPr>
          <w:color w:val="212121"/>
          <w:sz w:val="24"/>
        </w:rPr>
        <w:t>ischemia</w:t>
      </w:r>
      <w:r w:rsidR="00C25A45">
        <w:rPr>
          <w:color w:val="212121"/>
          <w:sz w:val="24"/>
        </w:rPr>
        <w:t xml:space="preserve"> </w:t>
      </w:r>
      <w:r>
        <w:rPr>
          <w:color w:val="212121"/>
          <w:sz w:val="24"/>
        </w:rPr>
        <w:t>time</w:t>
      </w:r>
      <w:r w:rsidR="00C25A45">
        <w:rPr>
          <w:color w:val="212121"/>
          <w:sz w:val="24"/>
        </w:rPr>
        <w:t xml:space="preserve"> </w:t>
      </w:r>
      <w:r>
        <w:rPr>
          <w:color w:val="212121"/>
          <w:sz w:val="24"/>
        </w:rPr>
        <w:t xml:space="preserve">on no-reflow phenomenoninpatientswithSTelevationmyocardialinfarctionundergoingprimary percutaneous coronary intervention. Anatolian journal of cardiology. 2022 May </w:t>
      </w:r>
      <w:r>
        <w:rPr>
          <w:color w:val="212121"/>
          <w:spacing w:val="-2"/>
          <w:sz w:val="24"/>
        </w:rPr>
        <w:t>1</w:t>
      </w:r>
      <w:proofErr w:type="gramStart"/>
      <w:r>
        <w:rPr>
          <w:color w:val="212121"/>
          <w:spacing w:val="-2"/>
          <w:sz w:val="24"/>
        </w:rPr>
        <w:t>;26</w:t>
      </w:r>
      <w:proofErr w:type="gramEnd"/>
      <w:r>
        <w:rPr>
          <w:color w:val="212121"/>
          <w:spacing w:val="-2"/>
          <w:sz w:val="24"/>
        </w:rPr>
        <w:t>(5):382.</w:t>
      </w:r>
      <w:r>
        <w:rPr>
          <w:spacing w:val="-2"/>
          <w:sz w:val="24"/>
        </w:rPr>
        <w:t>.</w:t>
      </w:r>
    </w:p>
    <w:p w:rsidR="007C464E" w:rsidRDefault="007C464E">
      <w:pPr>
        <w:pStyle w:val="ListParagraph"/>
        <w:rPr>
          <w:sz w:val="24"/>
        </w:rPr>
        <w:sectPr w:rsidR="007C464E">
          <w:pgSz w:w="12240" w:h="15840"/>
          <w:pgMar w:top="780" w:right="1080" w:bottom="280" w:left="1080" w:header="720" w:footer="720" w:gutter="0"/>
          <w:cols w:space="720"/>
        </w:sectPr>
      </w:pPr>
    </w:p>
    <w:p w:rsidR="007C464E" w:rsidRDefault="006B4C16">
      <w:pPr>
        <w:pStyle w:val="ListParagraph"/>
        <w:numPr>
          <w:ilvl w:val="0"/>
          <w:numId w:val="1"/>
        </w:numPr>
        <w:tabs>
          <w:tab w:val="left" w:pos="1081"/>
        </w:tabs>
        <w:spacing w:before="71" w:line="242" w:lineRule="auto"/>
        <w:ind w:right="418"/>
        <w:rPr>
          <w:sz w:val="24"/>
        </w:rPr>
      </w:pPr>
      <w:proofErr w:type="spellStart"/>
      <w:r>
        <w:rPr>
          <w:sz w:val="24"/>
        </w:rPr>
        <w:lastRenderedPageBreak/>
        <w:t>Fajar</w:t>
      </w:r>
      <w:proofErr w:type="spellEnd"/>
      <w:r>
        <w:rPr>
          <w:sz w:val="24"/>
        </w:rPr>
        <w:t xml:space="preserve"> JK, </w:t>
      </w:r>
      <w:proofErr w:type="spellStart"/>
      <w:r>
        <w:rPr>
          <w:sz w:val="24"/>
        </w:rPr>
        <w:t>Heriansyah</w:t>
      </w:r>
      <w:proofErr w:type="spellEnd"/>
      <w:r>
        <w:rPr>
          <w:sz w:val="24"/>
        </w:rPr>
        <w:t xml:space="preserve"> T, </w:t>
      </w:r>
      <w:proofErr w:type="spellStart"/>
      <w:r>
        <w:rPr>
          <w:sz w:val="24"/>
        </w:rPr>
        <w:t>Rohman</w:t>
      </w:r>
      <w:proofErr w:type="spellEnd"/>
      <w:r>
        <w:rPr>
          <w:sz w:val="24"/>
        </w:rPr>
        <w:t xml:space="preserve"> MS. The predictors of no reflow phenomenon after percutaneouscoronaryinterventioninpatientswithSTelevationmyocardialinfarction</w:t>
      </w:r>
      <w:proofErr w:type="gramStart"/>
      <w:r>
        <w:rPr>
          <w:sz w:val="24"/>
        </w:rPr>
        <w:t>:a</w:t>
      </w:r>
      <w:proofErr w:type="gramEnd"/>
      <w:r>
        <w:rPr>
          <w:sz w:val="24"/>
        </w:rPr>
        <w:t xml:space="preserve"> meta-analysis. Indian Heart J 2018</w:t>
      </w:r>
      <w:proofErr w:type="gramStart"/>
      <w:r>
        <w:rPr>
          <w:sz w:val="24"/>
        </w:rPr>
        <w:t>;70</w:t>
      </w:r>
      <w:proofErr w:type="gramEnd"/>
      <w:r>
        <w:rPr>
          <w:sz w:val="24"/>
        </w:rPr>
        <w:t>(</w:t>
      </w:r>
      <w:proofErr w:type="spellStart"/>
      <w:r>
        <w:rPr>
          <w:sz w:val="24"/>
        </w:rPr>
        <w:t>suppl</w:t>
      </w:r>
      <w:proofErr w:type="spellEnd"/>
      <w:r>
        <w:rPr>
          <w:sz w:val="24"/>
        </w:rPr>
        <w:t xml:space="preserve"> 3):S406–S418.</w:t>
      </w:r>
    </w:p>
    <w:p w:rsidR="007C464E" w:rsidRDefault="006B4C16">
      <w:pPr>
        <w:pStyle w:val="ListParagraph"/>
        <w:numPr>
          <w:ilvl w:val="0"/>
          <w:numId w:val="1"/>
        </w:numPr>
        <w:tabs>
          <w:tab w:val="left" w:pos="1081"/>
        </w:tabs>
        <w:spacing w:before="234"/>
        <w:ind w:right="474"/>
        <w:rPr>
          <w:sz w:val="24"/>
        </w:rPr>
      </w:pPr>
      <w:r>
        <w:rPr>
          <w:sz w:val="24"/>
        </w:rPr>
        <w:t xml:space="preserve">Kumar R, Ammar A, </w:t>
      </w:r>
      <w:proofErr w:type="spellStart"/>
      <w:r>
        <w:rPr>
          <w:sz w:val="24"/>
        </w:rPr>
        <w:t>Saghir</w:t>
      </w:r>
      <w:proofErr w:type="spellEnd"/>
      <w:r>
        <w:rPr>
          <w:sz w:val="24"/>
        </w:rPr>
        <w:t xml:space="preserve"> T, </w:t>
      </w:r>
      <w:proofErr w:type="spellStart"/>
      <w:r>
        <w:rPr>
          <w:sz w:val="24"/>
        </w:rPr>
        <w:t>Sial</w:t>
      </w:r>
      <w:proofErr w:type="spellEnd"/>
      <w:r>
        <w:rPr>
          <w:sz w:val="24"/>
        </w:rPr>
        <w:t xml:space="preserve"> JA, Khan KA, Shah JA, Shaikh AH, Rizvi SN, Qamar N, Karim M. Development and validation of a novel risk stratification model for slow-flow/no-reflowduringprimarypercutaneouscoronaryintervention(theRK-SF/NR score). The American Journal of Cardiology. 2022 May 15</w:t>
      </w:r>
      <w:proofErr w:type="gramStart"/>
      <w:r>
        <w:rPr>
          <w:sz w:val="24"/>
        </w:rPr>
        <w:t>;171:32</w:t>
      </w:r>
      <w:proofErr w:type="gramEnd"/>
      <w:r>
        <w:rPr>
          <w:sz w:val="24"/>
        </w:rPr>
        <w:t>-9.</w:t>
      </w:r>
    </w:p>
    <w:p w:rsidR="007C464E" w:rsidRDefault="006B4C16">
      <w:pPr>
        <w:pStyle w:val="ListParagraph"/>
        <w:numPr>
          <w:ilvl w:val="0"/>
          <w:numId w:val="1"/>
        </w:numPr>
        <w:tabs>
          <w:tab w:val="left" w:pos="1081"/>
        </w:tabs>
        <w:spacing w:before="242"/>
        <w:ind w:right="509"/>
        <w:rPr>
          <w:sz w:val="24"/>
        </w:rPr>
      </w:pPr>
      <w:r>
        <w:rPr>
          <w:sz w:val="24"/>
        </w:rPr>
        <w:t xml:space="preserve">Panchal H. B., Zheng S., </w:t>
      </w:r>
      <w:proofErr w:type="spellStart"/>
      <w:r>
        <w:rPr>
          <w:sz w:val="24"/>
        </w:rPr>
        <w:t>Devani</w:t>
      </w:r>
      <w:proofErr w:type="spellEnd"/>
      <w:r>
        <w:rPr>
          <w:sz w:val="24"/>
        </w:rPr>
        <w:t xml:space="preserve"> K., et al. Impact of chronic kidney disease on revascularizationandoutcomesinpatientswithST-elevationmyocardialinfarction.The American Journal of </w:t>
      </w:r>
      <w:proofErr w:type="gramStart"/>
      <w:r>
        <w:rPr>
          <w:sz w:val="24"/>
        </w:rPr>
        <w:t>Cardiology .</w:t>
      </w:r>
      <w:proofErr w:type="gramEnd"/>
      <w:r>
        <w:rPr>
          <w:sz w:val="24"/>
        </w:rPr>
        <w:t xml:space="preserve"> 202</w:t>
      </w:r>
      <w:proofErr w:type="gramStart"/>
      <w:r>
        <w:rPr>
          <w:sz w:val="24"/>
        </w:rPr>
        <w:t>;150:15</w:t>
      </w:r>
      <w:proofErr w:type="gramEnd"/>
      <w:r>
        <w:rPr>
          <w:sz w:val="24"/>
        </w:rPr>
        <w:t xml:space="preserve">–23. </w:t>
      </w:r>
      <w:proofErr w:type="spellStart"/>
      <w:proofErr w:type="gramStart"/>
      <w:r>
        <w:rPr>
          <w:sz w:val="24"/>
        </w:rPr>
        <w:t>doi</w:t>
      </w:r>
      <w:proofErr w:type="spellEnd"/>
      <w:proofErr w:type="gramEnd"/>
      <w:r>
        <w:rPr>
          <w:sz w:val="24"/>
        </w:rPr>
        <w:t>: 10.1016/j.amjcard.2021.03.057.</w:t>
      </w:r>
    </w:p>
    <w:p w:rsidR="007C464E" w:rsidRDefault="006B4C16">
      <w:pPr>
        <w:pStyle w:val="ListParagraph"/>
        <w:numPr>
          <w:ilvl w:val="0"/>
          <w:numId w:val="1"/>
        </w:numPr>
        <w:tabs>
          <w:tab w:val="left" w:pos="1081"/>
        </w:tabs>
        <w:spacing w:before="237"/>
        <w:ind w:right="520"/>
        <w:rPr>
          <w:sz w:val="24"/>
        </w:rPr>
      </w:pPr>
      <w:r>
        <w:rPr>
          <w:sz w:val="24"/>
        </w:rPr>
        <w:t xml:space="preserve">Hashimoto Y., Ozaki Y., Kan S., et al. Impact of chronic kidney disease on in-hospital and 3-year clinical outcomes in patients with acute myocardial infarction treated by contemporarypercutaneouscoronaryinterventionandoptimalmedicaltherapy-insights from the J-MINUET study. Circulation </w:t>
      </w:r>
      <w:proofErr w:type="gramStart"/>
      <w:r>
        <w:rPr>
          <w:sz w:val="24"/>
        </w:rPr>
        <w:t>Journal .</w:t>
      </w:r>
      <w:proofErr w:type="gramEnd"/>
      <w:r>
        <w:rPr>
          <w:sz w:val="24"/>
        </w:rPr>
        <w:t xml:space="preserve"> 2021</w:t>
      </w:r>
      <w:proofErr w:type="gramStart"/>
      <w:r>
        <w:rPr>
          <w:sz w:val="24"/>
        </w:rPr>
        <w:t>;85</w:t>
      </w:r>
      <w:proofErr w:type="gramEnd"/>
      <w:r>
        <w:rPr>
          <w:sz w:val="24"/>
        </w:rPr>
        <w:t xml:space="preserve">(10):1710–1718. </w:t>
      </w:r>
      <w:proofErr w:type="spellStart"/>
      <w:r>
        <w:rPr>
          <w:sz w:val="24"/>
        </w:rPr>
        <w:t>doi</w:t>
      </w:r>
      <w:proofErr w:type="spellEnd"/>
      <w:r>
        <w:rPr>
          <w:sz w:val="24"/>
        </w:rPr>
        <w:t xml:space="preserve">: </w:t>
      </w:r>
      <w:r>
        <w:rPr>
          <w:spacing w:val="-2"/>
          <w:sz w:val="24"/>
        </w:rPr>
        <w:t>10.1253/circj.cj-20-1115</w:t>
      </w:r>
    </w:p>
    <w:p w:rsidR="007C464E" w:rsidRDefault="006B4C16">
      <w:pPr>
        <w:pStyle w:val="ListParagraph"/>
        <w:numPr>
          <w:ilvl w:val="0"/>
          <w:numId w:val="1"/>
        </w:numPr>
        <w:tabs>
          <w:tab w:val="left" w:pos="1081"/>
        </w:tabs>
        <w:spacing w:before="241"/>
        <w:ind w:right="804"/>
        <w:rPr>
          <w:sz w:val="24"/>
        </w:rPr>
      </w:pPr>
      <w:r>
        <w:rPr>
          <w:sz w:val="24"/>
        </w:rPr>
        <w:t>.</w:t>
      </w:r>
      <w:proofErr w:type="spellStart"/>
      <w:r>
        <w:rPr>
          <w:sz w:val="24"/>
        </w:rPr>
        <w:t>KaiT</w:t>
      </w:r>
      <w:proofErr w:type="spellEnd"/>
      <w:r>
        <w:rPr>
          <w:sz w:val="24"/>
        </w:rPr>
        <w:t>.</w:t>
      </w:r>
      <w:proofErr w:type="gramStart"/>
      <w:r>
        <w:rPr>
          <w:sz w:val="24"/>
        </w:rPr>
        <w:t>,</w:t>
      </w:r>
      <w:proofErr w:type="spellStart"/>
      <w:r>
        <w:rPr>
          <w:sz w:val="24"/>
        </w:rPr>
        <w:t>OkaS</w:t>
      </w:r>
      <w:proofErr w:type="spellEnd"/>
      <w:proofErr w:type="gramEnd"/>
      <w:r>
        <w:rPr>
          <w:sz w:val="24"/>
        </w:rPr>
        <w:t>.,</w:t>
      </w:r>
      <w:proofErr w:type="spellStart"/>
      <w:r>
        <w:rPr>
          <w:sz w:val="24"/>
        </w:rPr>
        <w:t>HoshinoK</w:t>
      </w:r>
      <w:proofErr w:type="spellEnd"/>
      <w:r>
        <w:rPr>
          <w:sz w:val="24"/>
        </w:rPr>
        <w:t>.,</w:t>
      </w:r>
      <w:proofErr w:type="spellStart"/>
      <w:r>
        <w:rPr>
          <w:sz w:val="24"/>
        </w:rPr>
        <w:t>etal</w:t>
      </w:r>
      <w:proofErr w:type="spellEnd"/>
      <w:r>
        <w:rPr>
          <w:sz w:val="24"/>
        </w:rPr>
        <w:t xml:space="preserve">. </w:t>
      </w:r>
      <w:proofErr w:type="spellStart"/>
      <w:r>
        <w:rPr>
          <w:sz w:val="24"/>
        </w:rPr>
        <w:t>Renaldysfunction</w:t>
      </w:r>
      <w:proofErr w:type="spellEnd"/>
      <w:r>
        <w:rPr>
          <w:sz w:val="24"/>
        </w:rPr>
        <w:t xml:space="preserve"> as </w:t>
      </w:r>
      <w:proofErr w:type="spellStart"/>
      <w:r>
        <w:rPr>
          <w:sz w:val="24"/>
        </w:rPr>
        <w:t>apredictorofslow</w:t>
      </w:r>
      <w:proofErr w:type="spellEnd"/>
      <w:r>
        <w:rPr>
          <w:sz w:val="24"/>
        </w:rPr>
        <w:t xml:space="preserve">-flow/No- reflowphenomenonandimpairedSTsegmentresolutionafterpercutaneouscoronary intervention in ST-elevation myocardial infarction with initial thrombolysis in myocardial infarction grade 0. Circulation </w:t>
      </w:r>
      <w:proofErr w:type="gramStart"/>
      <w:r>
        <w:rPr>
          <w:sz w:val="24"/>
        </w:rPr>
        <w:t>Journal .</w:t>
      </w:r>
      <w:proofErr w:type="gramEnd"/>
      <w:r>
        <w:rPr>
          <w:sz w:val="24"/>
        </w:rPr>
        <w:t xml:space="preserve"> 2021</w:t>
      </w:r>
      <w:proofErr w:type="gramStart"/>
      <w:r>
        <w:rPr>
          <w:sz w:val="24"/>
        </w:rPr>
        <w:t>;85</w:t>
      </w:r>
      <w:proofErr w:type="gramEnd"/>
      <w:r>
        <w:rPr>
          <w:sz w:val="24"/>
        </w:rPr>
        <w:t xml:space="preserve">(10):1770–1778. </w:t>
      </w:r>
      <w:proofErr w:type="spellStart"/>
      <w:r>
        <w:rPr>
          <w:sz w:val="24"/>
        </w:rPr>
        <w:t>doi</w:t>
      </w:r>
      <w:proofErr w:type="spellEnd"/>
      <w:r>
        <w:rPr>
          <w:sz w:val="24"/>
        </w:rPr>
        <w:t xml:space="preserve">: </w:t>
      </w:r>
      <w:r>
        <w:rPr>
          <w:spacing w:val="-2"/>
          <w:sz w:val="24"/>
        </w:rPr>
        <w:t>10.1253/circj.cj-21-0221</w:t>
      </w:r>
    </w:p>
    <w:p w:rsidR="007C464E" w:rsidRDefault="006B4C16">
      <w:pPr>
        <w:pStyle w:val="ListParagraph"/>
        <w:numPr>
          <w:ilvl w:val="0"/>
          <w:numId w:val="1"/>
        </w:numPr>
        <w:tabs>
          <w:tab w:val="left" w:pos="1081"/>
        </w:tabs>
        <w:spacing w:before="240"/>
        <w:ind w:right="466"/>
        <w:rPr>
          <w:sz w:val="24"/>
        </w:rPr>
      </w:pPr>
      <w:r>
        <w:rPr>
          <w:sz w:val="24"/>
        </w:rPr>
        <w:t xml:space="preserve">Sabin P, Koshy AG, Gupta PN, </w:t>
      </w:r>
      <w:proofErr w:type="spellStart"/>
      <w:r>
        <w:rPr>
          <w:sz w:val="24"/>
        </w:rPr>
        <w:t>Sanjai</w:t>
      </w:r>
      <w:proofErr w:type="spellEnd"/>
      <w:r>
        <w:rPr>
          <w:sz w:val="24"/>
        </w:rPr>
        <w:t xml:space="preserve"> PV, </w:t>
      </w:r>
      <w:proofErr w:type="spellStart"/>
      <w:r>
        <w:rPr>
          <w:sz w:val="24"/>
        </w:rPr>
        <w:t>Sivaprasad</w:t>
      </w:r>
      <w:proofErr w:type="spellEnd"/>
      <w:r>
        <w:rPr>
          <w:sz w:val="24"/>
        </w:rPr>
        <w:t xml:space="preserve"> K, </w:t>
      </w:r>
      <w:proofErr w:type="spellStart"/>
      <w:r>
        <w:rPr>
          <w:sz w:val="24"/>
        </w:rPr>
        <w:t>Velappan</w:t>
      </w:r>
      <w:proofErr w:type="spellEnd"/>
      <w:r>
        <w:rPr>
          <w:sz w:val="24"/>
        </w:rPr>
        <w:t xml:space="preserve"> P, </w:t>
      </w:r>
      <w:proofErr w:type="spellStart"/>
      <w:r>
        <w:rPr>
          <w:sz w:val="24"/>
        </w:rPr>
        <w:t>Velayudhan</w:t>
      </w:r>
      <w:proofErr w:type="spellEnd"/>
      <w:r>
        <w:rPr>
          <w:sz w:val="24"/>
        </w:rPr>
        <w:t xml:space="preserve"> RV. Predictorsofno-reflowduringprimaryangioplastyforacutemyocardialinfarction</w:t>
      </w:r>
      <w:proofErr w:type="gramStart"/>
      <w:r>
        <w:rPr>
          <w:sz w:val="24"/>
        </w:rPr>
        <w:t>,from</w:t>
      </w:r>
      <w:proofErr w:type="gramEnd"/>
      <w:r>
        <w:rPr>
          <w:sz w:val="24"/>
        </w:rPr>
        <w:t xml:space="preserve"> Medical College Hospital, Trivandrum. Indian heart journal. 2017 Apr 1</w:t>
      </w:r>
      <w:proofErr w:type="gramStart"/>
      <w:r>
        <w:rPr>
          <w:sz w:val="24"/>
        </w:rPr>
        <w:t>;69:S34</w:t>
      </w:r>
      <w:proofErr w:type="gramEnd"/>
      <w:r>
        <w:rPr>
          <w:sz w:val="24"/>
        </w:rPr>
        <w:t>-45.</w:t>
      </w:r>
    </w:p>
    <w:p w:rsidR="007C464E" w:rsidRDefault="006B4C16">
      <w:pPr>
        <w:pStyle w:val="ListParagraph"/>
        <w:numPr>
          <w:ilvl w:val="0"/>
          <w:numId w:val="1"/>
        </w:numPr>
        <w:tabs>
          <w:tab w:val="left" w:pos="1081"/>
        </w:tabs>
        <w:spacing w:before="243"/>
        <w:ind w:right="419"/>
        <w:rPr>
          <w:sz w:val="24"/>
        </w:rPr>
      </w:pPr>
      <w:proofErr w:type="spellStart"/>
      <w:r>
        <w:rPr>
          <w:sz w:val="24"/>
        </w:rPr>
        <w:t>SavicL,MrdovicI,AsaninM,StankovicS,Lasica</w:t>
      </w:r>
      <w:proofErr w:type="spellEnd"/>
      <w:r>
        <w:rPr>
          <w:sz w:val="24"/>
        </w:rPr>
        <w:t xml:space="preserve"> </w:t>
      </w:r>
      <w:proofErr w:type="spellStart"/>
      <w:r>
        <w:rPr>
          <w:sz w:val="24"/>
        </w:rPr>
        <w:t>R,Krljanac</w:t>
      </w:r>
      <w:proofErr w:type="spellEnd"/>
      <w:r>
        <w:rPr>
          <w:sz w:val="24"/>
        </w:rPr>
        <w:t xml:space="preserve"> </w:t>
      </w:r>
      <w:proofErr w:type="spellStart"/>
      <w:r>
        <w:rPr>
          <w:sz w:val="24"/>
        </w:rPr>
        <w:t>G,RajicD,SimicD.The</w:t>
      </w:r>
      <w:proofErr w:type="spellEnd"/>
      <w:r>
        <w:rPr>
          <w:sz w:val="24"/>
        </w:rPr>
        <w:t xml:space="preserve"> Impact of Kidney Function on the Slow‐Flow/No‐Reflow Phenomenon in Patients Treated with Primary Percutaneous Coronary Intervention: Registry Analysis. Journal of Interventional Cardiology. 2022</w:t>
      </w:r>
      <w:proofErr w:type="gramStart"/>
      <w:r>
        <w:rPr>
          <w:sz w:val="24"/>
        </w:rPr>
        <w:t>;2022</w:t>
      </w:r>
      <w:proofErr w:type="gramEnd"/>
      <w:r>
        <w:rPr>
          <w:sz w:val="24"/>
        </w:rPr>
        <w:t>(1):5815274.</w:t>
      </w:r>
    </w:p>
    <w:p w:rsidR="007C464E" w:rsidRDefault="006B4C16">
      <w:pPr>
        <w:pStyle w:val="ListParagraph"/>
        <w:numPr>
          <w:ilvl w:val="0"/>
          <w:numId w:val="1"/>
        </w:numPr>
        <w:tabs>
          <w:tab w:val="left" w:pos="1081"/>
        </w:tabs>
        <w:spacing w:line="244" w:lineRule="auto"/>
        <w:ind w:right="1241"/>
        <w:rPr>
          <w:sz w:val="24"/>
        </w:rPr>
      </w:pPr>
      <w:proofErr w:type="spellStart"/>
      <w:r>
        <w:rPr>
          <w:sz w:val="24"/>
        </w:rPr>
        <w:t>HouseAA</w:t>
      </w:r>
      <w:proofErr w:type="gramStart"/>
      <w:r>
        <w:rPr>
          <w:sz w:val="24"/>
        </w:rPr>
        <w:t>,etal.HeartandKidneyInteractionsin</w:t>
      </w:r>
      <w:proofErr w:type="spellEnd"/>
      <w:proofErr w:type="gramEnd"/>
      <w:r>
        <w:rPr>
          <w:sz w:val="24"/>
        </w:rPr>
        <w:t xml:space="preserve"> </w:t>
      </w:r>
      <w:proofErr w:type="spellStart"/>
      <w:r>
        <w:rPr>
          <w:sz w:val="24"/>
        </w:rPr>
        <w:t>theSettingofAcuteCoronary</w:t>
      </w:r>
      <w:proofErr w:type="spellEnd"/>
      <w:r>
        <w:rPr>
          <w:sz w:val="24"/>
        </w:rPr>
        <w:t xml:space="preserve"> Syndromes. </w:t>
      </w:r>
      <w:r>
        <w:rPr>
          <w:i/>
          <w:sz w:val="24"/>
        </w:rPr>
        <w:t>J Am Heart Assoc</w:t>
      </w:r>
      <w:r>
        <w:rPr>
          <w:sz w:val="24"/>
        </w:rPr>
        <w:t>. 2021</w:t>
      </w:r>
      <w:proofErr w:type="gramStart"/>
      <w:r>
        <w:rPr>
          <w:sz w:val="24"/>
        </w:rPr>
        <w:t>;10</w:t>
      </w:r>
      <w:proofErr w:type="gramEnd"/>
      <w:r>
        <w:rPr>
          <w:sz w:val="24"/>
        </w:rPr>
        <w:t>(12):e020569.</w:t>
      </w:r>
    </w:p>
    <w:p w:rsidR="007C464E" w:rsidRDefault="006B4C16">
      <w:pPr>
        <w:pStyle w:val="ListParagraph"/>
        <w:numPr>
          <w:ilvl w:val="0"/>
          <w:numId w:val="1"/>
        </w:numPr>
        <w:tabs>
          <w:tab w:val="left" w:pos="1081"/>
        </w:tabs>
        <w:ind w:right="653"/>
        <w:rPr>
          <w:sz w:val="24"/>
        </w:rPr>
      </w:pPr>
      <w:proofErr w:type="spellStart"/>
      <w:r>
        <w:rPr>
          <w:sz w:val="24"/>
        </w:rPr>
        <w:t>CharytanDM.IstheFailingKidneyattheHeartofPoorCoronaryFlow</w:t>
      </w:r>
      <w:proofErr w:type="spellEnd"/>
      <w:proofErr w:type="gramStart"/>
      <w:r>
        <w:rPr>
          <w:sz w:val="24"/>
        </w:rPr>
        <w:t>?.</w:t>
      </w:r>
      <w:proofErr w:type="gramEnd"/>
      <w:r>
        <w:rPr>
          <w:sz w:val="24"/>
        </w:rPr>
        <w:t xml:space="preserve"> </w:t>
      </w:r>
      <w:r>
        <w:rPr>
          <w:i/>
          <w:sz w:val="24"/>
        </w:rPr>
        <w:t>Circulation</w:t>
      </w:r>
      <w:r>
        <w:rPr>
          <w:sz w:val="24"/>
        </w:rPr>
        <w:t xml:space="preserve">. </w:t>
      </w:r>
      <w:r>
        <w:rPr>
          <w:spacing w:val="-2"/>
          <w:sz w:val="24"/>
        </w:rPr>
        <w:t>2021</w:t>
      </w:r>
      <w:proofErr w:type="gramStart"/>
      <w:r>
        <w:rPr>
          <w:spacing w:val="-2"/>
          <w:sz w:val="24"/>
        </w:rPr>
        <w:t>;143</w:t>
      </w:r>
      <w:proofErr w:type="gramEnd"/>
      <w:r>
        <w:rPr>
          <w:spacing w:val="-2"/>
          <w:sz w:val="24"/>
        </w:rPr>
        <w:t>(12):1195-1197.</w:t>
      </w:r>
    </w:p>
    <w:p w:rsidR="007C464E" w:rsidRDefault="006B4C16">
      <w:pPr>
        <w:pStyle w:val="ListParagraph"/>
        <w:numPr>
          <w:ilvl w:val="0"/>
          <w:numId w:val="1"/>
        </w:numPr>
        <w:tabs>
          <w:tab w:val="left" w:pos="1081"/>
        </w:tabs>
        <w:spacing w:line="242" w:lineRule="auto"/>
        <w:ind w:right="713"/>
        <w:rPr>
          <w:sz w:val="24"/>
        </w:rPr>
      </w:pPr>
      <w:r>
        <w:rPr>
          <w:sz w:val="24"/>
        </w:rPr>
        <w:t xml:space="preserve">Jung C, et al. Impact of the </w:t>
      </w:r>
      <w:proofErr w:type="spellStart"/>
      <w:r>
        <w:rPr>
          <w:sz w:val="24"/>
        </w:rPr>
        <w:t>haemoglobin</w:t>
      </w:r>
      <w:proofErr w:type="spellEnd"/>
      <w:r>
        <w:rPr>
          <w:sz w:val="24"/>
        </w:rPr>
        <w:t xml:space="preserve"> level on microvascular obstruction in ST- </w:t>
      </w:r>
      <w:proofErr w:type="spellStart"/>
      <w:proofErr w:type="gramStart"/>
      <w:r>
        <w:rPr>
          <w:sz w:val="24"/>
        </w:rPr>
        <w:t>elevationmyocardialinfarction</w:t>
      </w:r>
      <w:proofErr w:type="spellEnd"/>
      <w:proofErr w:type="gramEnd"/>
      <w:r>
        <w:rPr>
          <w:sz w:val="24"/>
        </w:rPr>
        <w:t xml:space="preserve">. </w:t>
      </w:r>
      <w:r>
        <w:rPr>
          <w:i/>
          <w:sz w:val="24"/>
        </w:rPr>
        <w:t>EurHeartJAcuteCardiovascCare</w:t>
      </w:r>
      <w:r>
        <w:rPr>
          <w:sz w:val="24"/>
        </w:rPr>
        <w:t>.2021</w:t>
      </w:r>
      <w:proofErr w:type="gramStart"/>
      <w:r>
        <w:rPr>
          <w:sz w:val="24"/>
        </w:rPr>
        <w:t>;10</w:t>
      </w:r>
      <w:proofErr w:type="gramEnd"/>
      <w:r>
        <w:rPr>
          <w:sz w:val="24"/>
        </w:rPr>
        <w:t xml:space="preserve">(2):139- </w:t>
      </w:r>
      <w:r>
        <w:rPr>
          <w:spacing w:val="-4"/>
          <w:sz w:val="24"/>
        </w:rPr>
        <w:t>146.</w:t>
      </w:r>
    </w:p>
    <w:p w:rsidR="007C464E" w:rsidRDefault="006B4C16">
      <w:pPr>
        <w:pStyle w:val="ListParagraph"/>
        <w:numPr>
          <w:ilvl w:val="0"/>
          <w:numId w:val="1"/>
        </w:numPr>
        <w:tabs>
          <w:tab w:val="left" w:pos="1081"/>
        </w:tabs>
        <w:ind w:right="998"/>
        <w:rPr>
          <w:sz w:val="24"/>
        </w:rPr>
      </w:pPr>
      <w:r>
        <w:rPr>
          <w:sz w:val="24"/>
        </w:rPr>
        <w:t>NdrepepaG</w:t>
      </w:r>
      <w:proofErr w:type="gramStart"/>
      <w:r>
        <w:rPr>
          <w:sz w:val="24"/>
        </w:rPr>
        <w:t>,KastratiA.TheNo</w:t>
      </w:r>
      <w:proofErr w:type="gramEnd"/>
      <w:r>
        <w:rPr>
          <w:sz w:val="24"/>
        </w:rPr>
        <w:t xml:space="preserve">-ReflowPhenomenon:AUpdateonDiagnosisand Management. </w:t>
      </w:r>
      <w:r>
        <w:rPr>
          <w:i/>
          <w:sz w:val="24"/>
        </w:rPr>
        <w:t xml:space="preserve">Front </w:t>
      </w:r>
      <w:proofErr w:type="spellStart"/>
      <w:r>
        <w:rPr>
          <w:i/>
          <w:sz w:val="24"/>
        </w:rPr>
        <w:t>Cardiovasc</w:t>
      </w:r>
      <w:proofErr w:type="spellEnd"/>
      <w:r>
        <w:rPr>
          <w:i/>
          <w:sz w:val="24"/>
        </w:rPr>
        <w:t xml:space="preserve"> Med</w:t>
      </w:r>
      <w:r>
        <w:rPr>
          <w:sz w:val="24"/>
        </w:rPr>
        <w:t>. 2022</w:t>
      </w:r>
      <w:proofErr w:type="gramStart"/>
      <w:r>
        <w:rPr>
          <w:sz w:val="24"/>
        </w:rPr>
        <w:t>;9:857918</w:t>
      </w:r>
      <w:proofErr w:type="gramEnd"/>
      <w:r>
        <w:rPr>
          <w:sz w:val="24"/>
        </w:rPr>
        <w:t>.</w:t>
      </w:r>
    </w:p>
    <w:p w:rsidR="007C464E" w:rsidRDefault="006B4C16">
      <w:pPr>
        <w:pStyle w:val="ListParagraph"/>
        <w:numPr>
          <w:ilvl w:val="0"/>
          <w:numId w:val="1"/>
        </w:numPr>
        <w:tabs>
          <w:tab w:val="left" w:pos="1081"/>
        </w:tabs>
        <w:ind w:right="509"/>
        <w:rPr>
          <w:sz w:val="24"/>
        </w:rPr>
      </w:pPr>
      <w:r>
        <w:rPr>
          <w:sz w:val="24"/>
        </w:rPr>
        <w:t xml:space="preserve">Panchal HB, Zheng S, </w:t>
      </w:r>
      <w:proofErr w:type="spellStart"/>
      <w:r>
        <w:rPr>
          <w:sz w:val="24"/>
        </w:rPr>
        <w:t>Devani</w:t>
      </w:r>
      <w:proofErr w:type="spellEnd"/>
      <w:r>
        <w:rPr>
          <w:sz w:val="24"/>
        </w:rPr>
        <w:t xml:space="preserve"> K, White CJ, </w:t>
      </w:r>
      <w:proofErr w:type="spellStart"/>
      <w:r>
        <w:rPr>
          <w:sz w:val="24"/>
        </w:rPr>
        <w:t>Leinaar</w:t>
      </w:r>
      <w:proofErr w:type="spellEnd"/>
      <w:r>
        <w:rPr>
          <w:sz w:val="24"/>
        </w:rPr>
        <w:t xml:space="preserve"> EF, Mukherjee D, Mamas M, Banerjee S, Bhatt DL, </w:t>
      </w:r>
      <w:proofErr w:type="spellStart"/>
      <w:r>
        <w:rPr>
          <w:sz w:val="24"/>
        </w:rPr>
        <w:t>Jneid</w:t>
      </w:r>
      <w:proofErr w:type="spellEnd"/>
      <w:r>
        <w:rPr>
          <w:sz w:val="24"/>
        </w:rPr>
        <w:t xml:space="preserve"> H, </w:t>
      </w:r>
      <w:proofErr w:type="spellStart"/>
      <w:r>
        <w:rPr>
          <w:sz w:val="24"/>
        </w:rPr>
        <w:t>Samady</w:t>
      </w:r>
      <w:proofErr w:type="spellEnd"/>
      <w:r>
        <w:rPr>
          <w:sz w:val="24"/>
        </w:rPr>
        <w:t xml:space="preserve"> H. Impact of chronic kidney disease on revascularizationandoutcomesinpatientswithST-elevationmyocardialinfarction.The American journal of cardiology. 2021 Jul 1</w:t>
      </w:r>
      <w:proofErr w:type="gramStart"/>
      <w:r>
        <w:rPr>
          <w:sz w:val="24"/>
        </w:rPr>
        <w:t>;150:15</w:t>
      </w:r>
      <w:proofErr w:type="gramEnd"/>
      <w:r>
        <w:rPr>
          <w:sz w:val="24"/>
        </w:rPr>
        <w:t>-23.</w:t>
      </w:r>
    </w:p>
    <w:sectPr w:rsidR="007C464E" w:rsidSect="007C464E">
      <w:pgSz w:w="12240" w:h="15840"/>
      <w:pgMar w:top="7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A7F44"/>
    <w:multiLevelType w:val="hybridMultilevel"/>
    <w:tmpl w:val="F2B8FE0C"/>
    <w:lvl w:ilvl="0" w:tplc="A6A0DE42">
      <w:start w:val="1"/>
      <w:numFmt w:val="decimal"/>
      <w:lvlText w:val="%1."/>
      <w:lvlJc w:val="left"/>
      <w:pPr>
        <w:ind w:left="1081" w:hanging="360"/>
        <w:jc w:val="left"/>
      </w:pPr>
      <w:rPr>
        <w:rFonts w:hint="default"/>
        <w:spacing w:val="0"/>
        <w:w w:val="100"/>
        <w:lang w:val="en-US" w:eastAsia="en-US" w:bidi="ar-SA"/>
      </w:rPr>
    </w:lvl>
    <w:lvl w:ilvl="1" w:tplc="226003A4">
      <w:numFmt w:val="bullet"/>
      <w:lvlText w:val="•"/>
      <w:lvlJc w:val="left"/>
      <w:pPr>
        <w:ind w:left="1980" w:hanging="360"/>
      </w:pPr>
      <w:rPr>
        <w:rFonts w:hint="default"/>
        <w:lang w:val="en-US" w:eastAsia="en-US" w:bidi="ar-SA"/>
      </w:rPr>
    </w:lvl>
    <w:lvl w:ilvl="2" w:tplc="EB68906A">
      <w:numFmt w:val="bullet"/>
      <w:lvlText w:val="•"/>
      <w:lvlJc w:val="left"/>
      <w:pPr>
        <w:ind w:left="2880" w:hanging="360"/>
      </w:pPr>
      <w:rPr>
        <w:rFonts w:hint="default"/>
        <w:lang w:val="en-US" w:eastAsia="en-US" w:bidi="ar-SA"/>
      </w:rPr>
    </w:lvl>
    <w:lvl w:ilvl="3" w:tplc="9B6AA308">
      <w:numFmt w:val="bullet"/>
      <w:lvlText w:val="•"/>
      <w:lvlJc w:val="left"/>
      <w:pPr>
        <w:ind w:left="3780" w:hanging="360"/>
      </w:pPr>
      <w:rPr>
        <w:rFonts w:hint="default"/>
        <w:lang w:val="en-US" w:eastAsia="en-US" w:bidi="ar-SA"/>
      </w:rPr>
    </w:lvl>
    <w:lvl w:ilvl="4" w:tplc="1CF0A68C">
      <w:numFmt w:val="bullet"/>
      <w:lvlText w:val="•"/>
      <w:lvlJc w:val="left"/>
      <w:pPr>
        <w:ind w:left="4680" w:hanging="360"/>
      </w:pPr>
      <w:rPr>
        <w:rFonts w:hint="default"/>
        <w:lang w:val="en-US" w:eastAsia="en-US" w:bidi="ar-SA"/>
      </w:rPr>
    </w:lvl>
    <w:lvl w:ilvl="5" w:tplc="B74089DA">
      <w:numFmt w:val="bullet"/>
      <w:lvlText w:val="•"/>
      <w:lvlJc w:val="left"/>
      <w:pPr>
        <w:ind w:left="5580" w:hanging="360"/>
      </w:pPr>
      <w:rPr>
        <w:rFonts w:hint="default"/>
        <w:lang w:val="en-US" w:eastAsia="en-US" w:bidi="ar-SA"/>
      </w:rPr>
    </w:lvl>
    <w:lvl w:ilvl="6" w:tplc="0D56DFC8">
      <w:numFmt w:val="bullet"/>
      <w:lvlText w:val="•"/>
      <w:lvlJc w:val="left"/>
      <w:pPr>
        <w:ind w:left="6480" w:hanging="360"/>
      </w:pPr>
      <w:rPr>
        <w:rFonts w:hint="default"/>
        <w:lang w:val="en-US" w:eastAsia="en-US" w:bidi="ar-SA"/>
      </w:rPr>
    </w:lvl>
    <w:lvl w:ilvl="7" w:tplc="77707022">
      <w:numFmt w:val="bullet"/>
      <w:lvlText w:val="•"/>
      <w:lvlJc w:val="left"/>
      <w:pPr>
        <w:ind w:left="7380" w:hanging="360"/>
      </w:pPr>
      <w:rPr>
        <w:rFonts w:hint="default"/>
        <w:lang w:val="en-US" w:eastAsia="en-US" w:bidi="ar-SA"/>
      </w:rPr>
    </w:lvl>
    <w:lvl w:ilvl="8" w:tplc="371A2EB8">
      <w:numFmt w:val="bullet"/>
      <w:lvlText w:val="•"/>
      <w:lvlJc w:val="left"/>
      <w:pPr>
        <w:ind w:left="8280" w:hanging="360"/>
      </w:pPr>
      <w:rPr>
        <w:rFonts w:hint="default"/>
        <w:lang w:val="en-US" w:eastAsia="en-US" w:bidi="ar-SA"/>
      </w:rPr>
    </w:lvl>
  </w:abstractNum>
  <w:abstractNum w:abstractNumId="1" w15:restartNumberingAfterBreak="0">
    <w:nsid w:val="52BA7538"/>
    <w:multiLevelType w:val="hybridMultilevel"/>
    <w:tmpl w:val="69ECE9F0"/>
    <w:lvl w:ilvl="0" w:tplc="187A4230">
      <w:numFmt w:val="bullet"/>
      <w:lvlText w:val=""/>
      <w:lvlJc w:val="left"/>
      <w:pPr>
        <w:ind w:left="1081" w:hanging="360"/>
      </w:pPr>
      <w:rPr>
        <w:rFonts w:ascii="Symbol" w:eastAsia="Symbol" w:hAnsi="Symbol" w:cs="Symbol" w:hint="default"/>
        <w:b w:val="0"/>
        <w:bCs w:val="0"/>
        <w:i w:val="0"/>
        <w:iCs w:val="0"/>
        <w:spacing w:val="0"/>
        <w:w w:val="100"/>
        <w:sz w:val="20"/>
        <w:szCs w:val="20"/>
        <w:lang w:val="en-US" w:eastAsia="en-US" w:bidi="ar-SA"/>
      </w:rPr>
    </w:lvl>
    <w:lvl w:ilvl="1" w:tplc="9202C07E">
      <w:numFmt w:val="bullet"/>
      <w:lvlText w:val="•"/>
      <w:lvlJc w:val="left"/>
      <w:pPr>
        <w:ind w:left="1980" w:hanging="360"/>
      </w:pPr>
      <w:rPr>
        <w:rFonts w:hint="default"/>
        <w:lang w:val="en-US" w:eastAsia="en-US" w:bidi="ar-SA"/>
      </w:rPr>
    </w:lvl>
    <w:lvl w:ilvl="2" w:tplc="4AFE8982">
      <w:numFmt w:val="bullet"/>
      <w:lvlText w:val="•"/>
      <w:lvlJc w:val="left"/>
      <w:pPr>
        <w:ind w:left="2880" w:hanging="360"/>
      </w:pPr>
      <w:rPr>
        <w:rFonts w:hint="default"/>
        <w:lang w:val="en-US" w:eastAsia="en-US" w:bidi="ar-SA"/>
      </w:rPr>
    </w:lvl>
    <w:lvl w:ilvl="3" w:tplc="B0C4D1E6">
      <w:numFmt w:val="bullet"/>
      <w:lvlText w:val="•"/>
      <w:lvlJc w:val="left"/>
      <w:pPr>
        <w:ind w:left="3780" w:hanging="360"/>
      </w:pPr>
      <w:rPr>
        <w:rFonts w:hint="default"/>
        <w:lang w:val="en-US" w:eastAsia="en-US" w:bidi="ar-SA"/>
      </w:rPr>
    </w:lvl>
    <w:lvl w:ilvl="4" w:tplc="ECB81388">
      <w:numFmt w:val="bullet"/>
      <w:lvlText w:val="•"/>
      <w:lvlJc w:val="left"/>
      <w:pPr>
        <w:ind w:left="4680" w:hanging="360"/>
      </w:pPr>
      <w:rPr>
        <w:rFonts w:hint="default"/>
        <w:lang w:val="en-US" w:eastAsia="en-US" w:bidi="ar-SA"/>
      </w:rPr>
    </w:lvl>
    <w:lvl w:ilvl="5" w:tplc="C5805F20">
      <w:numFmt w:val="bullet"/>
      <w:lvlText w:val="•"/>
      <w:lvlJc w:val="left"/>
      <w:pPr>
        <w:ind w:left="5580" w:hanging="360"/>
      </w:pPr>
      <w:rPr>
        <w:rFonts w:hint="default"/>
        <w:lang w:val="en-US" w:eastAsia="en-US" w:bidi="ar-SA"/>
      </w:rPr>
    </w:lvl>
    <w:lvl w:ilvl="6" w:tplc="DA9C2B84">
      <w:numFmt w:val="bullet"/>
      <w:lvlText w:val="•"/>
      <w:lvlJc w:val="left"/>
      <w:pPr>
        <w:ind w:left="6480" w:hanging="360"/>
      </w:pPr>
      <w:rPr>
        <w:rFonts w:hint="default"/>
        <w:lang w:val="en-US" w:eastAsia="en-US" w:bidi="ar-SA"/>
      </w:rPr>
    </w:lvl>
    <w:lvl w:ilvl="7" w:tplc="B2261122">
      <w:numFmt w:val="bullet"/>
      <w:lvlText w:val="•"/>
      <w:lvlJc w:val="left"/>
      <w:pPr>
        <w:ind w:left="7380" w:hanging="360"/>
      </w:pPr>
      <w:rPr>
        <w:rFonts w:hint="default"/>
        <w:lang w:val="en-US" w:eastAsia="en-US" w:bidi="ar-SA"/>
      </w:rPr>
    </w:lvl>
    <w:lvl w:ilvl="8" w:tplc="CD083402">
      <w:numFmt w:val="bullet"/>
      <w:lvlText w:val="•"/>
      <w:lvlJc w:val="left"/>
      <w:pPr>
        <w:ind w:left="8280"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C464E"/>
    <w:rsid w:val="00233E2E"/>
    <w:rsid w:val="002912E2"/>
    <w:rsid w:val="00452558"/>
    <w:rsid w:val="004F11F8"/>
    <w:rsid w:val="0055304C"/>
    <w:rsid w:val="0055446A"/>
    <w:rsid w:val="005D2D32"/>
    <w:rsid w:val="006B4C16"/>
    <w:rsid w:val="00750C00"/>
    <w:rsid w:val="007C464E"/>
    <w:rsid w:val="007C6D8B"/>
    <w:rsid w:val="008F4B65"/>
    <w:rsid w:val="00B2010E"/>
    <w:rsid w:val="00B34FB4"/>
    <w:rsid w:val="00B8053E"/>
    <w:rsid w:val="00B86545"/>
    <w:rsid w:val="00C25A45"/>
    <w:rsid w:val="00CA297B"/>
    <w:rsid w:val="00D566DE"/>
    <w:rsid w:val="00EF1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5EBDB9-6230-48EA-B497-6700E63C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C464E"/>
    <w:rPr>
      <w:rFonts w:ascii="Times New Roman" w:eastAsia="Times New Roman" w:hAnsi="Times New Roman" w:cs="Times New Roman"/>
    </w:rPr>
  </w:style>
  <w:style w:type="paragraph" w:styleId="Heading1">
    <w:name w:val="heading 1"/>
    <w:basedOn w:val="Normal"/>
    <w:uiPriority w:val="1"/>
    <w:qFormat/>
    <w:rsid w:val="007C464E"/>
    <w:pPr>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C464E"/>
    <w:pPr>
      <w:ind w:left="360"/>
    </w:pPr>
    <w:rPr>
      <w:sz w:val="24"/>
      <w:szCs w:val="24"/>
    </w:rPr>
  </w:style>
  <w:style w:type="paragraph" w:styleId="ListParagraph">
    <w:name w:val="List Paragraph"/>
    <w:basedOn w:val="Normal"/>
    <w:uiPriority w:val="1"/>
    <w:qFormat/>
    <w:rsid w:val="007C464E"/>
    <w:pPr>
      <w:ind w:left="1081" w:hanging="360"/>
    </w:pPr>
  </w:style>
  <w:style w:type="paragraph" w:customStyle="1" w:styleId="TableParagraph">
    <w:name w:val="Table Paragraph"/>
    <w:basedOn w:val="Normal"/>
    <w:uiPriority w:val="1"/>
    <w:qFormat/>
    <w:rsid w:val="007C464E"/>
    <w:pPr>
      <w:spacing w:before="76"/>
      <w:ind w:left="6"/>
      <w:jc w:val="center"/>
    </w:pPr>
  </w:style>
  <w:style w:type="paragraph" w:styleId="BalloonText">
    <w:name w:val="Balloon Text"/>
    <w:basedOn w:val="Normal"/>
    <w:link w:val="BalloonTextChar"/>
    <w:uiPriority w:val="99"/>
    <w:semiHidden/>
    <w:unhideWhenUsed/>
    <w:rsid w:val="008F4B65"/>
    <w:rPr>
      <w:rFonts w:ascii="Tahoma" w:hAnsi="Tahoma" w:cs="Tahoma"/>
      <w:sz w:val="16"/>
      <w:szCs w:val="16"/>
    </w:rPr>
  </w:style>
  <w:style w:type="character" w:customStyle="1" w:styleId="BalloonTextChar">
    <w:name w:val="Balloon Text Char"/>
    <w:basedOn w:val="DefaultParagraphFont"/>
    <w:link w:val="BalloonText"/>
    <w:uiPriority w:val="99"/>
    <w:semiHidden/>
    <w:rsid w:val="008F4B6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16</Pages>
  <Words>4219</Words>
  <Characters>24051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Shamila Afshan</dc:creator>
  <cp:lastModifiedBy>INVICTUS</cp:lastModifiedBy>
  <cp:revision>17</cp:revision>
  <dcterms:created xsi:type="dcterms:W3CDTF">2025-12-29T23:05:00Z</dcterms:created>
  <dcterms:modified xsi:type="dcterms:W3CDTF">2025-12-30T10:28:00Z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Microsoft Word</vt:lpwstr>
  </property>
  <property fmtid="{D5CDD505-2E9C-101B-9397-08002B2CF9AE}" pid="4" name="LastSaved">
    <vt:filetime>2025-12-29T00:00:00Z</vt:filetime>
  </property>
</Properties>
</file>